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FA197" w14:textId="23C426C4" w:rsidR="00BA2E41" w:rsidRDefault="008C62B0" w:rsidP="00BA2E41">
      <w:pPr>
        <w:spacing w:after="0" w:line="240" w:lineRule="auto"/>
        <w:jc w:val="center"/>
        <w:rPr>
          <w:rFonts w:ascii="Times New Roman" w:hAnsi="Times New Roman"/>
          <w:b/>
          <w:bCs/>
          <w:sz w:val="36"/>
          <w:szCs w:val="36"/>
        </w:rPr>
      </w:pPr>
      <w:r w:rsidRPr="008C62B0">
        <w:rPr>
          <w:rFonts w:ascii="Times New Roman" w:hAnsi="Times New Roman"/>
          <w:b/>
          <w:bCs/>
          <w:sz w:val="36"/>
          <w:szCs w:val="36"/>
        </w:rPr>
        <w:t>The Title Goes Here with Each Initial Letter Capitalized</w:t>
      </w:r>
    </w:p>
    <w:p w14:paraId="26D961BC" w14:textId="77777777" w:rsidR="008C62B0" w:rsidRPr="008C62B0" w:rsidRDefault="008C62B0" w:rsidP="008C62B0">
      <w:pPr>
        <w:spacing w:after="0" w:line="240" w:lineRule="auto"/>
        <w:jc w:val="center"/>
        <w:rPr>
          <w:rFonts w:ascii="Times New Roman" w:eastAsiaTheme="minorEastAsia" w:hAnsi="Times New Roman"/>
          <w:i/>
          <w:iCs/>
          <w:kern w:val="2"/>
          <w:sz w:val="20"/>
          <w:szCs w:val="20"/>
          <w:lang w:eastAsia="ja-JP"/>
          <w14:ligatures w14:val="standardContextual"/>
        </w:rPr>
      </w:pPr>
      <w:r w:rsidRPr="008C62B0">
        <w:rPr>
          <w:rFonts w:ascii="Times New Roman" w:eastAsiaTheme="minorEastAsia" w:hAnsi="Times New Roman"/>
          <w:i/>
          <w:iCs/>
          <w:kern w:val="2"/>
          <w:sz w:val="20"/>
          <w:szCs w:val="20"/>
          <w:lang w:eastAsia="ja-JP"/>
          <w14:ligatures w14:val="standardContextual"/>
        </w:rPr>
        <w:t>(Use Times New Roman Font: 18 pt, Bold, Centered)</w:t>
      </w:r>
    </w:p>
    <w:p w14:paraId="5BE75D9C" w14:textId="77777777" w:rsidR="008C62B0" w:rsidRDefault="008C62B0" w:rsidP="00BA2E41">
      <w:pPr>
        <w:spacing w:after="0" w:line="240" w:lineRule="auto"/>
        <w:jc w:val="center"/>
        <w:rPr>
          <w:rFonts w:ascii="Times New Roman" w:hAnsi="Times New Roman"/>
          <w:b/>
          <w:bCs/>
          <w:sz w:val="36"/>
          <w:szCs w:val="36"/>
        </w:rPr>
      </w:pPr>
    </w:p>
    <w:p w14:paraId="67606F67" w14:textId="689FB627" w:rsidR="00DF208A" w:rsidRDefault="00D45FAD" w:rsidP="00DF208A">
      <w:pPr>
        <w:pStyle w:val="AuthorName"/>
        <w:spacing w:before="0" w:after="0"/>
        <w:rPr>
          <w:vertAlign w:val="superscript"/>
          <w:lang w:val="id-ID"/>
        </w:rPr>
      </w:pPr>
      <w:r w:rsidRPr="00E42A07">
        <w:rPr>
          <w:szCs w:val="28"/>
        </w:rPr>
        <w:t>Author’s Name</w:t>
      </w:r>
      <w:r w:rsidRPr="00C73A0C">
        <w:rPr>
          <w:vertAlign w:val="superscript"/>
          <w:lang w:val="id-ID"/>
        </w:rPr>
        <w:t xml:space="preserve"> </w:t>
      </w:r>
      <w:proofErr w:type="gramStart"/>
      <w:r w:rsidR="00DF208A" w:rsidRPr="00C73A0C">
        <w:rPr>
          <w:vertAlign w:val="superscript"/>
          <w:lang w:val="id-ID"/>
        </w:rPr>
        <w:t>1,a</w:t>
      </w:r>
      <w:proofErr w:type="gramEnd"/>
      <w:r w:rsidR="00DF208A" w:rsidRPr="00C73A0C">
        <w:rPr>
          <w:vertAlign w:val="superscript"/>
          <w:lang w:val="id-ID"/>
        </w:rPr>
        <w:t>)</w:t>
      </w:r>
      <w:r w:rsidR="00DF208A">
        <w:t xml:space="preserve">, </w:t>
      </w:r>
      <w:r w:rsidRPr="00E42A07">
        <w:rPr>
          <w:szCs w:val="28"/>
        </w:rPr>
        <w:t>Author’s Name</w:t>
      </w:r>
      <w:r w:rsidRPr="00C73A0C">
        <w:rPr>
          <w:vertAlign w:val="superscript"/>
          <w:lang w:val="id-ID"/>
        </w:rPr>
        <w:t xml:space="preserve"> </w:t>
      </w:r>
      <w:r>
        <w:rPr>
          <w:vertAlign w:val="superscript"/>
          <w:lang w:val="id-ID"/>
        </w:rPr>
        <w:t>2</w:t>
      </w:r>
      <w:r w:rsidR="00100C84">
        <w:rPr>
          <w:vertAlign w:val="superscript"/>
          <w:lang w:val="id-ID"/>
        </w:rPr>
        <w:t>,b)</w:t>
      </w:r>
      <w:r w:rsidR="00DF208A">
        <w:t xml:space="preserve">, </w:t>
      </w:r>
      <w:r w:rsidRPr="00E42A07">
        <w:rPr>
          <w:szCs w:val="28"/>
        </w:rPr>
        <w:t>Author’s Name</w:t>
      </w:r>
      <w:r w:rsidRPr="00C73A0C">
        <w:rPr>
          <w:vertAlign w:val="superscript"/>
          <w:lang w:val="id-ID"/>
        </w:rPr>
        <w:t xml:space="preserve"> </w:t>
      </w:r>
      <w:r w:rsidR="00DF208A" w:rsidRPr="00C73A0C">
        <w:rPr>
          <w:vertAlign w:val="superscript"/>
          <w:lang w:val="id-ID"/>
        </w:rPr>
        <w:t>1</w:t>
      </w:r>
      <w:r w:rsidR="00100C84">
        <w:rPr>
          <w:vertAlign w:val="superscript"/>
          <w:lang w:val="id-ID"/>
        </w:rPr>
        <w:t>,</w:t>
      </w:r>
      <w:r>
        <w:rPr>
          <w:vertAlign w:val="superscript"/>
          <w:lang w:val="id-ID"/>
        </w:rPr>
        <w:t>2,</w:t>
      </w:r>
      <w:r w:rsidR="00100C84">
        <w:rPr>
          <w:vertAlign w:val="superscript"/>
          <w:lang w:val="id-ID"/>
        </w:rPr>
        <w:t>c)</w:t>
      </w:r>
      <w:r w:rsidR="00DF208A">
        <w:t xml:space="preserve">, </w:t>
      </w:r>
      <w:r w:rsidRPr="00E42A07">
        <w:rPr>
          <w:szCs w:val="28"/>
        </w:rPr>
        <w:t>Author’s Name</w:t>
      </w:r>
      <w:r w:rsidRPr="00C73A0C">
        <w:rPr>
          <w:vertAlign w:val="superscript"/>
          <w:lang w:val="id-ID"/>
        </w:rPr>
        <w:t xml:space="preserve"> </w:t>
      </w:r>
      <w:r>
        <w:rPr>
          <w:vertAlign w:val="superscript"/>
          <w:lang w:val="id-ID"/>
        </w:rPr>
        <w:t>3</w:t>
      </w:r>
      <w:r w:rsidR="00100C84">
        <w:rPr>
          <w:vertAlign w:val="superscript"/>
          <w:lang w:val="id-ID"/>
        </w:rPr>
        <w:t>,d)</w:t>
      </w:r>
      <w:r w:rsidR="00DF208A">
        <w:t xml:space="preserve">, </w:t>
      </w:r>
      <w:r w:rsidRPr="00E42A07">
        <w:rPr>
          <w:szCs w:val="28"/>
        </w:rPr>
        <w:t>Author’s Name</w:t>
      </w:r>
      <w:r w:rsidRPr="00C73A0C">
        <w:rPr>
          <w:vertAlign w:val="superscript"/>
          <w:lang w:val="id-ID"/>
        </w:rPr>
        <w:t xml:space="preserve"> </w:t>
      </w:r>
      <w:r w:rsidR="00DF208A" w:rsidRPr="00C73A0C">
        <w:rPr>
          <w:vertAlign w:val="superscript"/>
          <w:lang w:val="id-ID"/>
        </w:rPr>
        <w:t>1</w:t>
      </w:r>
      <w:r w:rsidR="00100C84">
        <w:rPr>
          <w:vertAlign w:val="superscript"/>
          <w:lang w:val="id-ID"/>
        </w:rPr>
        <w:t>,e)</w:t>
      </w:r>
      <w:r w:rsidR="00DF208A">
        <w:t>,</w:t>
      </w:r>
      <w:r w:rsidR="00DF208A" w:rsidRPr="00C73A0C">
        <w:rPr>
          <w:vertAlign w:val="superscript"/>
          <w:lang w:val="id-ID"/>
        </w:rPr>
        <w:t xml:space="preserve"> </w:t>
      </w:r>
      <w:r w:rsidR="00DF208A">
        <w:t xml:space="preserve"> </w:t>
      </w:r>
      <w:r w:rsidRPr="00E42A07">
        <w:rPr>
          <w:szCs w:val="28"/>
        </w:rPr>
        <w:t>Author’s Name</w:t>
      </w:r>
      <w:r w:rsidRPr="00C73A0C">
        <w:rPr>
          <w:vertAlign w:val="superscript"/>
          <w:lang w:val="id-ID"/>
        </w:rPr>
        <w:t xml:space="preserve"> </w:t>
      </w:r>
      <w:r>
        <w:rPr>
          <w:vertAlign w:val="superscript"/>
          <w:lang w:val="id-ID"/>
        </w:rPr>
        <w:t>2</w:t>
      </w:r>
      <w:r w:rsidR="00100C84">
        <w:rPr>
          <w:vertAlign w:val="superscript"/>
          <w:lang w:val="id-ID"/>
        </w:rPr>
        <w:t>,f)</w:t>
      </w:r>
      <w:r w:rsidR="00DF208A">
        <w:t xml:space="preserve">, </w:t>
      </w:r>
      <w:r w:rsidRPr="00E42A07">
        <w:rPr>
          <w:szCs w:val="28"/>
        </w:rPr>
        <w:t>Author’s Name</w:t>
      </w:r>
      <w:r w:rsidRPr="00C73A0C">
        <w:rPr>
          <w:vertAlign w:val="superscript"/>
          <w:lang w:val="id-ID"/>
        </w:rPr>
        <w:t xml:space="preserve"> </w:t>
      </w:r>
      <w:r>
        <w:rPr>
          <w:vertAlign w:val="superscript"/>
          <w:lang w:val="id-ID"/>
        </w:rPr>
        <w:t>3</w:t>
      </w:r>
      <w:r w:rsidR="00100C84">
        <w:rPr>
          <w:vertAlign w:val="superscript"/>
          <w:lang w:val="id-ID"/>
        </w:rPr>
        <w:t>,g)</w:t>
      </w:r>
    </w:p>
    <w:p w14:paraId="413FAAD2" w14:textId="77777777" w:rsidR="00D45FAD" w:rsidRPr="00D45FAD" w:rsidRDefault="00D45FAD" w:rsidP="00D45FAD">
      <w:pPr>
        <w:spacing w:after="0" w:line="240" w:lineRule="auto"/>
        <w:jc w:val="center"/>
        <w:rPr>
          <w:rFonts w:ascii="Times New Roman" w:eastAsiaTheme="minorEastAsia" w:hAnsi="Times New Roman"/>
          <w:i/>
          <w:iCs/>
          <w:kern w:val="2"/>
          <w:sz w:val="20"/>
          <w:szCs w:val="20"/>
          <w:lang w:eastAsia="ja-JP"/>
          <w14:ligatures w14:val="standardContextual"/>
        </w:rPr>
      </w:pPr>
      <w:r w:rsidRPr="00D45FAD">
        <w:rPr>
          <w:rFonts w:ascii="Times New Roman" w:eastAsiaTheme="minorEastAsia" w:hAnsi="Times New Roman"/>
          <w:i/>
          <w:iCs/>
          <w:kern w:val="2"/>
          <w:sz w:val="20"/>
          <w:szCs w:val="20"/>
          <w:lang w:eastAsia="ja-JP"/>
          <w14:ligatures w14:val="standardContextual"/>
        </w:rPr>
        <w:t>(Use Times New Roman Font: 14 pt, Centered)</w:t>
      </w:r>
    </w:p>
    <w:p w14:paraId="42890B5D" w14:textId="77777777" w:rsidR="00D45FAD" w:rsidRPr="00D45FAD" w:rsidRDefault="00D45FAD" w:rsidP="00D45FAD">
      <w:pPr>
        <w:spacing w:after="0" w:line="240" w:lineRule="auto"/>
        <w:jc w:val="center"/>
        <w:rPr>
          <w:rFonts w:ascii="Times New Roman" w:eastAsiaTheme="minorEastAsia" w:hAnsi="Times New Roman"/>
          <w:kern w:val="2"/>
          <w:sz w:val="20"/>
          <w:szCs w:val="20"/>
          <w:lang w:eastAsia="ja-JP"/>
          <w14:ligatures w14:val="standardContextual"/>
        </w:rPr>
      </w:pPr>
      <w:r w:rsidRPr="00D45FAD">
        <w:rPr>
          <w:rFonts w:ascii="Times New Roman" w:eastAsiaTheme="minorEastAsia" w:hAnsi="Times New Roman"/>
          <w:i/>
          <w:iCs/>
          <w:kern w:val="2"/>
          <w:sz w:val="20"/>
          <w:szCs w:val="20"/>
          <w:lang w:eastAsia="ja-JP"/>
          <w14:ligatures w14:val="standardContextual"/>
        </w:rPr>
        <w:t>(Names should be written in First Name Surname order)</w:t>
      </w:r>
    </w:p>
    <w:p w14:paraId="28466F48" w14:textId="77777777" w:rsidR="00D45FAD" w:rsidRPr="00D45FAD" w:rsidRDefault="00D45FAD" w:rsidP="00D45FAD">
      <w:pPr>
        <w:spacing w:after="0"/>
        <w:rPr>
          <w:lang w:eastAsia="en-US"/>
        </w:rPr>
      </w:pPr>
    </w:p>
    <w:p w14:paraId="71C2AF03" w14:textId="27EE6DDF" w:rsidR="00D45FAD" w:rsidRDefault="00BA2E41" w:rsidP="00D45FAD">
      <w:pPr>
        <w:pStyle w:val="AuthorAffiliation"/>
        <w:rPr>
          <w:lang w:val="id-ID"/>
        </w:rPr>
      </w:pPr>
      <w:r w:rsidRPr="00D20147">
        <w:rPr>
          <w:vertAlign w:val="superscript"/>
        </w:rPr>
        <w:t>1</w:t>
      </w:r>
      <w:r w:rsidRPr="00D20147">
        <w:rPr>
          <w:vertAlign w:val="superscript"/>
          <w:lang w:val="id-ID"/>
        </w:rPr>
        <w:t xml:space="preserve"> </w:t>
      </w:r>
      <w:r w:rsidR="00D45FAD" w:rsidRPr="00D45FAD">
        <w:rPr>
          <w:lang w:val="id-ID"/>
        </w:rPr>
        <w:t xml:space="preserve">Replace this text with an author’s </w:t>
      </w:r>
      <w:proofErr w:type="gramStart"/>
      <w:r w:rsidR="00D45FAD" w:rsidRPr="00D45FAD">
        <w:rPr>
          <w:lang w:val="id-ID"/>
        </w:rPr>
        <w:t>affiliation</w:t>
      </w:r>
      <w:r w:rsidR="00D45FAD">
        <w:rPr>
          <w:lang w:val="id-ID"/>
        </w:rPr>
        <w:t xml:space="preserve"> :</w:t>
      </w:r>
      <w:r w:rsidR="00D45FAD" w:rsidRPr="00D45FAD">
        <w:rPr>
          <w:lang w:val="id-ID"/>
        </w:rPr>
        <w:t>use</w:t>
      </w:r>
      <w:proofErr w:type="gramEnd"/>
      <w:r w:rsidR="00D45FAD" w:rsidRPr="00D45FAD">
        <w:rPr>
          <w:lang w:val="id-ID"/>
        </w:rPr>
        <w:t xml:space="preserve"> complete addresses, including country name.</w:t>
      </w:r>
    </w:p>
    <w:p w14:paraId="23D9843D" w14:textId="00F9C8CD" w:rsidR="00D45FAD" w:rsidRDefault="00D45FAD" w:rsidP="00D45FAD">
      <w:pPr>
        <w:pStyle w:val="AuthorAffiliation"/>
        <w:rPr>
          <w:lang w:val="id-ID"/>
        </w:rPr>
      </w:pPr>
      <w:r>
        <w:rPr>
          <w:vertAlign w:val="superscript"/>
        </w:rPr>
        <w:t>2</w:t>
      </w:r>
      <w:r w:rsidRPr="00D20147">
        <w:rPr>
          <w:vertAlign w:val="superscript"/>
          <w:lang w:val="id-ID"/>
        </w:rPr>
        <w:t xml:space="preserve"> </w:t>
      </w:r>
      <w:r w:rsidRPr="00D45FAD">
        <w:rPr>
          <w:lang w:val="id-ID"/>
        </w:rPr>
        <w:t xml:space="preserve">Replace this text with an author’s </w:t>
      </w:r>
      <w:proofErr w:type="gramStart"/>
      <w:r w:rsidRPr="00D45FAD">
        <w:rPr>
          <w:lang w:val="id-ID"/>
        </w:rPr>
        <w:t>affiliation</w:t>
      </w:r>
      <w:r>
        <w:rPr>
          <w:lang w:val="id-ID"/>
        </w:rPr>
        <w:t xml:space="preserve"> </w:t>
      </w:r>
      <w:r>
        <w:rPr>
          <w:lang w:val="id-ID"/>
        </w:rPr>
        <w:t>:</w:t>
      </w:r>
      <w:r w:rsidRPr="00D45FAD">
        <w:rPr>
          <w:lang w:val="id-ID"/>
        </w:rPr>
        <w:t>use</w:t>
      </w:r>
      <w:proofErr w:type="gramEnd"/>
      <w:r w:rsidRPr="00D45FAD">
        <w:rPr>
          <w:lang w:val="id-ID"/>
        </w:rPr>
        <w:t xml:space="preserve"> complete addresses, including country name.</w:t>
      </w:r>
    </w:p>
    <w:p w14:paraId="3E481CFF" w14:textId="044AE363" w:rsidR="00D45FAD" w:rsidRPr="00D20147" w:rsidRDefault="00D45FAD" w:rsidP="00D45FAD">
      <w:pPr>
        <w:pStyle w:val="AuthorAffiliation"/>
        <w:rPr>
          <w:lang w:val="id-ID"/>
        </w:rPr>
      </w:pPr>
      <w:r>
        <w:rPr>
          <w:vertAlign w:val="superscript"/>
        </w:rPr>
        <w:t>3</w:t>
      </w:r>
      <w:r w:rsidRPr="00D20147">
        <w:rPr>
          <w:vertAlign w:val="superscript"/>
          <w:lang w:val="id-ID"/>
        </w:rPr>
        <w:t xml:space="preserve"> </w:t>
      </w:r>
      <w:r w:rsidRPr="00D45FAD">
        <w:rPr>
          <w:lang w:val="id-ID"/>
        </w:rPr>
        <w:t xml:space="preserve">Replace this text with an author’s </w:t>
      </w:r>
      <w:proofErr w:type="gramStart"/>
      <w:r w:rsidRPr="00D45FAD">
        <w:rPr>
          <w:lang w:val="id-ID"/>
        </w:rPr>
        <w:t>affiliation</w:t>
      </w:r>
      <w:r>
        <w:rPr>
          <w:lang w:val="id-ID"/>
        </w:rPr>
        <w:t xml:space="preserve"> </w:t>
      </w:r>
      <w:r>
        <w:rPr>
          <w:lang w:val="id-ID"/>
        </w:rPr>
        <w:t>:</w:t>
      </w:r>
      <w:r w:rsidRPr="00D45FAD">
        <w:rPr>
          <w:lang w:val="id-ID"/>
        </w:rPr>
        <w:t>use</w:t>
      </w:r>
      <w:proofErr w:type="gramEnd"/>
      <w:r w:rsidRPr="00D45FAD">
        <w:rPr>
          <w:lang w:val="id-ID"/>
        </w:rPr>
        <w:t xml:space="preserve"> complete addresses, including country nam</w:t>
      </w:r>
      <w:r>
        <w:rPr>
          <w:lang w:val="id-ID"/>
        </w:rPr>
        <w:t>e</w:t>
      </w:r>
      <w:r w:rsidRPr="00D45FAD">
        <w:rPr>
          <w:lang w:val="id-ID"/>
        </w:rPr>
        <w:t>.</w:t>
      </w:r>
    </w:p>
    <w:p w14:paraId="230AE8A6" w14:textId="77777777" w:rsidR="00D45FAD" w:rsidRDefault="00D45FAD" w:rsidP="00D45FAD">
      <w:pPr>
        <w:pStyle w:val="AuthorAffiliation"/>
        <w:rPr>
          <w:lang w:val="id-ID"/>
        </w:rPr>
      </w:pPr>
      <w:r w:rsidRPr="00D45FAD">
        <w:rPr>
          <w:lang w:val="id-ID"/>
        </w:rPr>
        <w:t>(Use Times New Roman Font: 10 pt, Italic, Centered)</w:t>
      </w:r>
    </w:p>
    <w:p w14:paraId="370ABBD8" w14:textId="77777777" w:rsidR="00D45FAD" w:rsidRDefault="00D45FAD" w:rsidP="00D45FAD">
      <w:pPr>
        <w:pStyle w:val="AuthorAffiliation"/>
        <w:rPr>
          <w:lang w:val="id-ID"/>
        </w:rPr>
      </w:pPr>
    </w:p>
    <w:p w14:paraId="09D7655E" w14:textId="77777777" w:rsidR="00D20147" w:rsidRDefault="00D20147" w:rsidP="00BA2E41">
      <w:pPr>
        <w:pStyle w:val="AuthorAffiliation"/>
        <w:rPr>
          <w:i w:val="0"/>
          <w:iCs/>
          <w:lang w:val="id-ID"/>
        </w:rPr>
      </w:pPr>
    </w:p>
    <w:p w14:paraId="2D04A6E6" w14:textId="38F04A5D" w:rsidR="00100C84" w:rsidRDefault="00100C84" w:rsidP="00100C84">
      <w:pPr>
        <w:pStyle w:val="AuthorAffiliation"/>
        <w:tabs>
          <w:tab w:val="center" w:pos="4680"/>
          <w:tab w:val="left" w:pos="6899"/>
        </w:tabs>
        <w:jc w:val="left"/>
        <w:rPr>
          <w:lang w:val="id-ID"/>
        </w:rPr>
      </w:pPr>
      <w:r w:rsidRPr="00100C84">
        <w:rPr>
          <w:i w:val="0"/>
          <w:vertAlign w:val="superscript"/>
        </w:rPr>
        <w:tab/>
      </w:r>
      <w:proofErr w:type="gramStart"/>
      <w:r w:rsidRPr="00100C84">
        <w:rPr>
          <w:i w:val="0"/>
          <w:vertAlign w:val="superscript"/>
        </w:rPr>
        <w:t>a</w:t>
      </w:r>
      <w:r w:rsidRPr="00100C84">
        <w:rPr>
          <w:vertAlign w:val="superscript"/>
        </w:rPr>
        <w:t>)</w:t>
      </w:r>
      <w:r w:rsidR="00D20147">
        <w:t>Corresponding</w:t>
      </w:r>
      <w:proofErr w:type="gramEnd"/>
      <w:r w:rsidR="00D20147">
        <w:t xml:space="preserve"> author: </w:t>
      </w:r>
      <w:r w:rsidR="00D45FAD" w:rsidRPr="00D45FAD">
        <w:rPr>
          <w:lang w:val="id-ID"/>
        </w:rPr>
        <w:t>your@emailaddress.xxx</w:t>
      </w:r>
    </w:p>
    <w:p w14:paraId="609B2DA3" w14:textId="77777777" w:rsidR="00D45FAD" w:rsidRDefault="00100C84" w:rsidP="00100C84">
      <w:pPr>
        <w:pStyle w:val="AuthorAffiliation"/>
        <w:tabs>
          <w:tab w:val="center" w:pos="4680"/>
          <w:tab w:val="left" w:pos="6899"/>
        </w:tabs>
        <w:jc w:val="left"/>
        <w:rPr>
          <w:lang w:val="id-ID"/>
        </w:rPr>
      </w:pPr>
      <w:r>
        <w:tab/>
      </w:r>
      <w:r w:rsidRPr="00100C84">
        <w:rPr>
          <w:vertAlign w:val="superscript"/>
          <w:lang w:val="id-ID"/>
        </w:rPr>
        <w:t>b</w:t>
      </w:r>
      <w:r>
        <w:rPr>
          <w:vertAlign w:val="superscript"/>
          <w:lang w:val="id-ID"/>
        </w:rPr>
        <w:t>)</w:t>
      </w:r>
      <w:r w:rsidR="00D45FAD" w:rsidRPr="00D45FAD">
        <w:t xml:space="preserve"> </w:t>
      </w:r>
      <w:r w:rsidR="00D45FAD" w:rsidRPr="00D45FAD">
        <w:rPr>
          <w:lang w:val="id-ID"/>
        </w:rPr>
        <w:t>anotherauthor@thisaddress.yyy</w:t>
      </w:r>
      <w:r>
        <w:rPr>
          <w:lang w:val="id-ID"/>
        </w:rPr>
        <w:t xml:space="preserve">; </w:t>
      </w:r>
    </w:p>
    <w:p w14:paraId="017FF93B" w14:textId="77777777" w:rsidR="00D45FAD" w:rsidRDefault="00100C84" w:rsidP="00D45FAD">
      <w:pPr>
        <w:pStyle w:val="AuthorAffiliation"/>
        <w:tabs>
          <w:tab w:val="center" w:pos="4680"/>
          <w:tab w:val="left" w:pos="6899"/>
        </w:tabs>
        <w:rPr>
          <w:lang w:val="id-ID"/>
        </w:rPr>
      </w:pPr>
      <w:r w:rsidRPr="00100C84">
        <w:rPr>
          <w:vertAlign w:val="superscript"/>
          <w:lang w:val="id-ID"/>
        </w:rPr>
        <w:t>c)</w:t>
      </w:r>
      <w:r w:rsidR="00D45FAD" w:rsidRPr="00D45FAD">
        <w:t xml:space="preserve"> </w:t>
      </w:r>
      <w:r w:rsidR="00D45FAD" w:rsidRPr="00D45FAD">
        <w:rPr>
          <w:lang w:val="id-ID"/>
        </w:rPr>
        <w:t>anotherauthor@thisaddress.yyy</w:t>
      </w:r>
      <w:r>
        <w:rPr>
          <w:lang w:val="id-ID"/>
        </w:rPr>
        <w:t>;</w:t>
      </w:r>
    </w:p>
    <w:p w14:paraId="352F860E" w14:textId="6FFFBF47" w:rsidR="00100C84" w:rsidRDefault="00100C84" w:rsidP="00D45FAD">
      <w:pPr>
        <w:pStyle w:val="AuthorAffiliation"/>
        <w:tabs>
          <w:tab w:val="center" w:pos="4680"/>
          <w:tab w:val="left" w:pos="6899"/>
        </w:tabs>
        <w:rPr>
          <w:lang w:val="id-ID"/>
        </w:rPr>
      </w:pPr>
      <w:r w:rsidRPr="00100C84">
        <w:rPr>
          <w:vertAlign w:val="superscript"/>
          <w:lang w:val="id-ID"/>
        </w:rPr>
        <w:t>d)</w:t>
      </w:r>
      <w:r w:rsidR="00D45FAD" w:rsidRPr="00D45FAD">
        <w:t xml:space="preserve"> </w:t>
      </w:r>
      <w:r w:rsidR="00D45FAD" w:rsidRPr="00D45FAD">
        <w:rPr>
          <w:lang w:val="id-ID"/>
        </w:rPr>
        <w:t>anotherauthor@thisaddress.yyy</w:t>
      </w:r>
      <w:r>
        <w:rPr>
          <w:lang w:val="id-ID"/>
        </w:rPr>
        <w:t>;</w:t>
      </w:r>
      <w:r w:rsidR="00D45FAD">
        <w:rPr>
          <w:lang w:val="id-ID"/>
        </w:rPr>
        <w:t>...</w:t>
      </w:r>
    </w:p>
    <w:p w14:paraId="5C9CC1F9" w14:textId="77777777" w:rsidR="00D45FAD" w:rsidRPr="00E42A07" w:rsidRDefault="00D45FAD" w:rsidP="00D45FAD">
      <w:pPr>
        <w:spacing w:after="0" w:line="240" w:lineRule="auto"/>
        <w:jc w:val="center"/>
        <w:rPr>
          <w:rFonts w:ascii="Times New Roman" w:hAnsi="Times New Roman"/>
          <w:i/>
          <w:iCs/>
          <w:sz w:val="20"/>
          <w:szCs w:val="20"/>
        </w:rPr>
      </w:pPr>
      <w:r w:rsidRPr="00E42A07">
        <w:rPr>
          <w:rFonts w:ascii="Times New Roman" w:hAnsi="Times New Roman"/>
          <w:i/>
          <w:iCs/>
          <w:sz w:val="20"/>
          <w:szCs w:val="20"/>
        </w:rPr>
        <w:t>(Use Times New Roman Font: 10 pt, Italic, Centered)</w:t>
      </w:r>
    </w:p>
    <w:p w14:paraId="590099B4" w14:textId="77777777" w:rsidR="00D45FAD" w:rsidRPr="00100C84" w:rsidRDefault="00D45FAD" w:rsidP="00100C84">
      <w:pPr>
        <w:pStyle w:val="AuthorAffiliation"/>
        <w:tabs>
          <w:tab w:val="center" w:pos="4680"/>
          <w:tab w:val="left" w:pos="6899"/>
        </w:tabs>
        <w:rPr>
          <w:lang w:val="id-ID"/>
        </w:rPr>
      </w:pPr>
    </w:p>
    <w:p w14:paraId="0BEBDF43" w14:textId="77777777" w:rsidR="00100C84" w:rsidRPr="00100C84" w:rsidRDefault="00100C84" w:rsidP="00100C84">
      <w:pPr>
        <w:pStyle w:val="AuthorAffiliation"/>
        <w:tabs>
          <w:tab w:val="center" w:pos="4680"/>
          <w:tab w:val="left" w:pos="6899"/>
        </w:tabs>
        <w:jc w:val="left"/>
        <w:rPr>
          <w:vertAlign w:val="superscript"/>
          <w:lang w:val="id-ID"/>
        </w:rPr>
      </w:pPr>
    </w:p>
    <w:p w14:paraId="4FAB2DDB" w14:textId="77777777" w:rsidR="00100C84" w:rsidRDefault="00100C84" w:rsidP="00100C84">
      <w:pPr>
        <w:pStyle w:val="AuthorAffiliation"/>
        <w:tabs>
          <w:tab w:val="center" w:pos="4680"/>
          <w:tab w:val="left" w:pos="6899"/>
        </w:tabs>
        <w:jc w:val="left"/>
        <w:rPr>
          <w:lang w:val="id-ID"/>
        </w:rPr>
      </w:pPr>
    </w:p>
    <w:p w14:paraId="61431D19" w14:textId="285B337D" w:rsidR="00D20147" w:rsidRDefault="00D20147" w:rsidP="008C62B0">
      <w:pPr>
        <w:pStyle w:val="AuthorAffiliation"/>
        <w:tabs>
          <w:tab w:val="center" w:pos="4680"/>
          <w:tab w:val="left" w:pos="6899"/>
        </w:tabs>
        <w:ind w:left="289" w:right="289"/>
        <w:jc w:val="both"/>
        <w:rPr>
          <w:sz w:val="18"/>
          <w:szCs w:val="18"/>
        </w:rPr>
      </w:pPr>
      <w:r w:rsidRPr="00D20147">
        <w:rPr>
          <w:b/>
          <w:bCs/>
          <w:sz w:val="18"/>
          <w:szCs w:val="18"/>
        </w:rPr>
        <w:t xml:space="preserve">Abstract. </w:t>
      </w:r>
      <w:r w:rsidR="007425CD" w:rsidRPr="00E42A07">
        <w:rPr>
          <w:sz w:val="18"/>
          <w:szCs w:val="18"/>
        </w:rPr>
        <w:t>To format your abstract, use the Microsoft Word template style: Abstract or Use Times New Roman Font: 9 pt, Indent: left 0.2"</w:t>
      </w:r>
      <w:r w:rsidR="007425CD">
        <w:rPr>
          <w:sz w:val="18"/>
          <w:szCs w:val="18"/>
        </w:rPr>
        <w:t>/0.51 cm</w:t>
      </w:r>
      <w:r w:rsidR="007425CD" w:rsidRPr="00E42A07">
        <w:rPr>
          <w:sz w:val="18"/>
          <w:szCs w:val="18"/>
        </w:rPr>
        <w:t xml:space="preserve">, </w:t>
      </w:r>
      <w:proofErr w:type="gramStart"/>
      <w:r w:rsidR="007425CD" w:rsidRPr="00E42A07">
        <w:rPr>
          <w:sz w:val="18"/>
          <w:szCs w:val="18"/>
        </w:rPr>
        <w:t>Right</w:t>
      </w:r>
      <w:proofErr w:type="gramEnd"/>
      <w:r w:rsidR="007425CD" w:rsidRPr="00E42A07">
        <w:rPr>
          <w:sz w:val="18"/>
          <w:szCs w:val="18"/>
        </w:rPr>
        <w:t>: 0.2""</w:t>
      </w:r>
      <w:r w:rsidR="007425CD">
        <w:rPr>
          <w:sz w:val="18"/>
          <w:szCs w:val="18"/>
        </w:rPr>
        <w:t>/0.51 cm</w:t>
      </w:r>
      <w:r w:rsidR="007425CD" w:rsidRPr="00E42A07">
        <w:rPr>
          <w:sz w:val="18"/>
          <w:szCs w:val="18"/>
        </w:rPr>
        <w:t xml:space="preserve">, Justified. Each paper must include an abstract. Begin the abstract with the word “Abstract” followed by a period in bold font, and then continue with a normal 9-point font. --- To format your abstract, use the Microsoft Word template style: Abstract or Use Times New Roman Font: 9 pt, Indent: left 0.2", Right: 0.2", Justified. Each paper must include an abstract. Begin the abstract with the word “Abstract” followed by a period in bold font, and then continue with a normal 9-point font. </w:t>
      </w:r>
      <w:r w:rsidR="007425CD">
        <w:rPr>
          <w:sz w:val="18"/>
          <w:szCs w:val="18"/>
        </w:rPr>
        <w:t>–</w:t>
      </w:r>
      <w:r w:rsidR="007425CD" w:rsidRPr="007425CD">
        <w:rPr>
          <w:sz w:val="18"/>
          <w:szCs w:val="18"/>
        </w:rPr>
        <w:t xml:space="preserve"> </w:t>
      </w:r>
      <w:r w:rsidR="007425CD" w:rsidRPr="00E42A07">
        <w:rPr>
          <w:sz w:val="18"/>
          <w:szCs w:val="18"/>
        </w:rPr>
        <w:t>To format your abstract, use the Microsoft Word template style: Abstract or Use Times New Roman Font: 9 pt, Indent: left 0.2"</w:t>
      </w:r>
      <w:r w:rsidR="007425CD">
        <w:rPr>
          <w:sz w:val="18"/>
          <w:szCs w:val="18"/>
        </w:rPr>
        <w:t>/0.51 cm</w:t>
      </w:r>
      <w:r w:rsidR="007425CD" w:rsidRPr="00E42A07">
        <w:rPr>
          <w:sz w:val="18"/>
          <w:szCs w:val="18"/>
        </w:rPr>
        <w:t xml:space="preserve">, </w:t>
      </w:r>
      <w:proofErr w:type="gramStart"/>
      <w:r w:rsidR="007425CD" w:rsidRPr="00E42A07">
        <w:rPr>
          <w:sz w:val="18"/>
          <w:szCs w:val="18"/>
        </w:rPr>
        <w:t>Right</w:t>
      </w:r>
      <w:proofErr w:type="gramEnd"/>
      <w:r w:rsidR="007425CD" w:rsidRPr="00E42A07">
        <w:rPr>
          <w:sz w:val="18"/>
          <w:szCs w:val="18"/>
        </w:rPr>
        <w:t>: 0.2""</w:t>
      </w:r>
      <w:r w:rsidR="007425CD">
        <w:rPr>
          <w:sz w:val="18"/>
          <w:szCs w:val="18"/>
        </w:rPr>
        <w:t>/0.51 cm</w:t>
      </w:r>
      <w:r w:rsidR="007425CD" w:rsidRPr="00E42A07">
        <w:rPr>
          <w:sz w:val="18"/>
          <w:szCs w:val="18"/>
        </w:rPr>
        <w:t xml:space="preserve">, Justified. Each paper must include an abstract. Begin the abstract with the word “Abstract” followed by a period in bold font, and then continue with a normal 9-point font. --- To format your abstract, use the Microsoft Word template style: Abstract or Use Times New Roman Font: 9 pt, Indent: left 0.2", Right: 0.2", Justified. Each paper must include an abstract. Begin the abstract with the word “Abstract” followed by a period in bold font, and then continue with a normal 9-point font. </w:t>
      </w:r>
      <w:r w:rsidR="007425CD">
        <w:rPr>
          <w:sz w:val="18"/>
          <w:szCs w:val="18"/>
        </w:rPr>
        <w:t>–</w:t>
      </w:r>
    </w:p>
    <w:p w14:paraId="12054168" w14:textId="02A21DB4" w:rsidR="00D20147" w:rsidRDefault="00D20147" w:rsidP="00D20147">
      <w:pPr>
        <w:widowControl w:val="0"/>
        <w:autoSpaceDE w:val="0"/>
        <w:autoSpaceDN w:val="0"/>
        <w:adjustRightInd w:val="0"/>
        <w:spacing w:before="7" w:after="0" w:line="240" w:lineRule="auto"/>
        <w:ind w:left="102" w:right="73"/>
        <w:jc w:val="both"/>
        <w:rPr>
          <w:rFonts w:ascii="Times New Roman" w:hAnsi="Times New Roman"/>
          <w:color w:val="000000"/>
          <w:sz w:val="18"/>
          <w:szCs w:val="18"/>
        </w:rPr>
      </w:pPr>
    </w:p>
    <w:p w14:paraId="679879E2" w14:textId="77777777" w:rsidR="007425CD" w:rsidRDefault="007425CD" w:rsidP="00D20147">
      <w:pPr>
        <w:widowControl w:val="0"/>
        <w:autoSpaceDE w:val="0"/>
        <w:autoSpaceDN w:val="0"/>
        <w:adjustRightInd w:val="0"/>
        <w:spacing w:before="7" w:after="0" w:line="240" w:lineRule="auto"/>
        <w:ind w:left="102" w:right="73"/>
        <w:jc w:val="both"/>
        <w:rPr>
          <w:rFonts w:ascii="Times New Roman" w:hAnsi="Times New Roman"/>
          <w:color w:val="000000"/>
          <w:sz w:val="18"/>
          <w:szCs w:val="18"/>
        </w:rPr>
      </w:pPr>
    </w:p>
    <w:p w14:paraId="2E86B5AF" w14:textId="22410ECD" w:rsidR="00D20147" w:rsidRDefault="008F2F74" w:rsidP="00D37517">
      <w:pPr>
        <w:pStyle w:val="Heading1"/>
        <w:spacing w:before="0"/>
        <w:rPr>
          <w:sz w:val="24"/>
          <w:szCs w:val="24"/>
        </w:rPr>
      </w:pPr>
      <w:r w:rsidRPr="00D37517">
        <w:rPr>
          <w:sz w:val="24"/>
          <w:szCs w:val="24"/>
        </w:rPr>
        <w:t>INTRODUCTION</w:t>
      </w:r>
    </w:p>
    <w:p w14:paraId="34E18F83" w14:textId="77777777" w:rsidR="00D37517" w:rsidRPr="00D37517" w:rsidRDefault="00D37517" w:rsidP="00D37517">
      <w:pPr>
        <w:spacing w:after="0"/>
      </w:pPr>
    </w:p>
    <w:p w14:paraId="2C647C9B" w14:textId="1E6A05FD" w:rsidR="00103351" w:rsidRDefault="00103351" w:rsidP="00D37517">
      <w:pPr>
        <w:spacing w:after="0"/>
        <w:ind w:firstLine="284"/>
        <w:jc w:val="both"/>
        <w:rPr>
          <w:rFonts w:ascii="Times New Roman" w:hAnsi="Times New Roman"/>
          <w:sz w:val="20"/>
          <w:szCs w:val="20"/>
        </w:rPr>
      </w:pPr>
      <w:proofErr w:type="spellStart"/>
      <w:r w:rsidRPr="00D03E74">
        <w:rPr>
          <w:rFonts w:ascii="Times New Roman" w:hAnsi="Times New Roman"/>
          <w:sz w:val="20"/>
          <w:szCs w:val="20"/>
          <w:lang w:val="en-US"/>
        </w:rPr>
        <w:t>Bioceramics</w:t>
      </w:r>
      <w:proofErr w:type="spellEnd"/>
      <w:r w:rsidRPr="00D03E74">
        <w:rPr>
          <w:rFonts w:ascii="Times New Roman" w:hAnsi="Times New Roman"/>
          <w:sz w:val="20"/>
          <w:szCs w:val="20"/>
          <w:lang w:val="en-US"/>
        </w:rPr>
        <w:t xml:space="preserve"> is a type of ceramic material that can be used in medical applications, especially for the implant process. Material that can interact with body tissues is called bioactive material, which has the properties of resorbable and non-resorbable</w:t>
      </w:r>
      <w:r w:rsidR="00D37517">
        <w:rPr>
          <w:rFonts w:ascii="Times New Roman" w:hAnsi="Times New Roman"/>
          <w:sz w:val="20"/>
          <w:szCs w:val="20"/>
        </w:rPr>
        <w:t xml:space="preserve">. Bioactive glasses and glass ceramics are mostly </w:t>
      </w:r>
      <w:r w:rsidR="00890568">
        <w:rPr>
          <w:rFonts w:ascii="Times New Roman" w:hAnsi="Times New Roman"/>
          <w:sz w:val="20"/>
          <w:szCs w:val="20"/>
        </w:rPr>
        <w:t>synthesized</w:t>
      </w:r>
      <w:r w:rsidR="00D37517">
        <w:rPr>
          <w:rFonts w:ascii="Times New Roman" w:hAnsi="Times New Roman"/>
          <w:sz w:val="20"/>
          <w:szCs w:val="20"/>
        </w:rPr>
        <w:t xml:space="preserve"> by high-temperature mixing, casting, and sintering of oxide molecules calcium, silicon, sodium, and phosphorus. </w:t>
      </w:r>
      <w:r w:rsidR="00D37517" w:rsidRPr="00D37517">
        <w:rPr>
          <w:rFonts w:ascii="Times New Roman" w:hAnsi="Times New Roman"/>
          <w:sz w:val="20"/>
          <w:szCs w:val="20"/>
        </w:rPr>
        <w:t>The compositions and properties of these glass ceramics can be modified to improve mechanical strength or the implant purpose</w:t>
      </w:r>
      <w:r w:rsidR="00D37517">
        <w:rPr>
          <w:rFonts w:ascii="Times New Roman" w:hAnsi="Times New Roman"/>
          <w:sz w:val="20"/>
          <w:szCs w:val="20"/>
        </w:rPr>
        <w:t xml:space="preserve"> </w:t>
      </w:r>
      <w:r w:rsidR="00D37517">
        <w:rPr>
          <w:rFonts w:ascii="Times New Roman" w:hAnsi="Times New Roman"/>
          <w:sz w:val="20"/>
          <w:szCs w:val="20"/>
        </w:rPr>
        <w:fldChar w:fldCharType="begin" w:fldLock="1"/>
      </w:r>
      <w:r w:rsidR="00D37517">
        <w:rPr>
          <w:rFonts w:ascii="Times New Roman" w:hAnsi="Times New Roman"/>
          <w:sz w:val="20"/>
          <w:szCs w:val="20"/>
        </w:rPr>
        <w:instrText>ADDIN CSL_CITATION {"citationItems":[{"id":"ITEM-1","itemData":{"DOI":"10.1016/0272-8842(95)00126-3","ISSN":"02728842","abstract":"Bioactive materials, including bioactive glasses, bioactive glass-ceramics, bioactive calcium phosphate ceramics and bioactive composites and coatings, bond to living tissues. The implant-tissue interfacial reactions and bonding mechanisms of the different bioactive materials are summarized. There are two types of bioactivities, osteoproductive bioactivity and osteoconductive bioactivity, due to different rates and mechanisms of implant-tissue interactions. To optimize the biochemical compatibility and biomechanical compatibility of the materials, two directions are proposed: (1) structural tailoring of bioactive composites and coatings and (2) molecular tailoring of surface chemistry. © 1996 Elsevier Science Limited and Techna S.r.l.","author":[{"dropping-particle":"","family":"Cao","given":"Wanpeng","non-dropping-particle":"","parse-names":false,"suffix":""},{"dropping-particle":"","family":"Hench","given":"Larry L.","non-dropping-particle":"","parse-names":false,"suffix":""}],"container-title":"Ceramics International","id":"ITEM-1","issue":"6","issued":{"date-parts":[["1996"]]},"page":"493-507","title":"Bioactive materials","type":"article-journal","volume":"22"},"uris":["http://www.mendeley.com/documents/?uuid=46705280-2223-47a3-a5bc-77cfa0be4cae"]},{"id":"ITEM-2","itemData":{"DOI":"10.1016/j.jeurceramsoc.2007.12.001","ISSN":"09552219","abstract":"There have been a number of major advances made in the field of bioactive ceramics, glasses and glass ceramics during the past 30-40 years. From initial work on the development of materials that are tolerated in the physiological environment, emphasis has now shifted towards the use of ceramic materials that interact with bone tissue by forming a direct bond. It is now possible to choose, by compositional control, whether these materials are biologically stable once incorporated within the skeletal structure or whether they are resorbed over time. This paper reviews the ground-breaking work that was performed during the 1970s and 1980s in the field of bioceramics in the production and characterisation of bioactive and bioresorbable glasses, glass ceramics and calcium phosphates. The review then explores the influence of the original concepts and ideas on the more recent development of ceramic scaffolds, composites and coatings with enhanced bioactivity for bone tissue engineering. © 2007 Elsevier Ltd. All rights reserved.","author":[{"dropping-particle":"","family":"Best","given":"S. M.","non-dropping-particle":"","parse-names":false,"suffix":""},{"dropping-particle":"","family":"Porter","given":"A. E.","non-dropping-particle":"","parse-names":false,"suffix":""},{"dropping-particle":"","family":"Thian","given":"E. S.","non-dropping-particle":"","parse-names":false,"suffix":""},{"dropping-particle":"","family":"Huang","given":"J.","non-dropping-particle":"","parse-names":false,"suffix":""}],"container-title":"Journal of the European Ceramic Society","id":"ITEM-2","issue":"7","issued":{"date-parts":[["2008"]]},"page":"1319-1327","title":"Bioceramics: Past, present and for the future","type":"article-journal","volume":"28"},"uris":["http://www.mendeley.com/documents/?uuid=b9a51702-24da-458c-8aee-e660d162ab39"]}],"mendeley":{"formattedCitation":"&lt;sup&gt;1,2&lt;/sup&gt;","plainTextFormattedCitation":"1,2","previouslyFormattedCitation":"&lt;sup&gt;1,2&lt;/sup&gt;"},"properties":{"noteIndex":0},"schema":"https://github.com/citation-style-language/schema/raw/master/csl-citation.json"}</w:instrText>
      </w:r>
      <w:r w:rsidR="00D37517">
        <w:rPr>
          <w:rFonts w:ascii="Times New Roman" w:hAnsi="Times New Roman"/>
          <w:sz w:val="20"/>
          <w:szCs w:val="20"/>
        </w:rPr>
        <w:fldChar w:fldCharType="separate"/>
      </w:r>
      <w:r w:rsidR="00D37517" w:rsidRPr="00D37517">
        <w:rPr>
          <w:rFonts w:ascii="Times New Roman" w:hAnsi="Times New Roman"/>
          <w:noProof/>
          <w:sz w:val="20"/>
          <w:szCs w:val="20"/>
          <w:vertAlign w:val="superscript"/>
        </w:rPr>
        <w:t>1,2</w:t>
      </w:r>
      <w:r w:rsidR="00D37517">
        <w:rPr>
          <w:rFonts w:ascii="Times New Roman" w:hAnsi="Times New Roman"/>
          <w:sz w:val="20"/>
          <w:szCs w:val="20"/>
        </w:rPr>
        <w:fldChar w:fldCharType="end"/>
      </w:r>
      <w:r w:rsidR="00D37517" w:rsidRPr="00D37517">
        <w:rPr>
          <w:rFonts w:ascii="Times New Roman" w:hAnsi="Times New Roman"/>
          <w:sz w:val="20"/>
          <w:szCs w:val="20"/>
        </w:rPr>
        <w:t>.</w:t>
      </w:r>
      <w:r w:rsidR="00D37517">
        <w:rPr>
          <w:rFonts w:ascii="Times New Roman" w:hAnsi="Times New Roman"/>
          <w:sz w:val="20"/>
          <w:szCs w:val="20"/>
        </w:rPr>
        <w:t xml:space="preserve"> </w:t>
      </w:r>
    </w:p>
    <w:p w14:paraId="61E0FBF4" w14:textId="10BEF406" w:rsidR="00890568" w:rsidRDefault="00103351" w:rsidP="00D37517">
      <w:pPr>
        <w:spacing w:after="0"/>
        <w:ind w:firstLine="284"/>
        <w:jc w:val="both"/>
        <w:rPr>
          <w:rFonts w:ascii="Times New Roman" w:hAnsi="Times New Roman"/>
          <w:sz w:val="20"/>
          <w:szCs w:val="20"/>
        </w:rPr>
      </w:pPr>
      <w:r w:rsidRPr="00D03E74">
        <w:rPr>
          <w:rFonts w:ascii="Times New Roman" w:hAnsi="Times New Roman"/>
          <w:sz w:val="20"/>
          <w:szCs w:val="20"/>
          <w:lang w:val="en-US"/>
        </w:rPr>
        <w:t xml:space="preserve">Brachytherapy is a radiotherapy procedure </w:t>
      </w:r>
      <w:r w:rsidRPr="00D03E74">
        <w:rPr>
          <w:rFonts w:ascii="Times New Roman" w:hAnsi="Times New Roman"/>
          <w:sz w:val="20"/>
          <w:szCs w:val="20"/>
        </w:rPr>
        <w:t>using a</w:t>
      </w:r>
      <w:r w:rsidRPr="00D03E74">
        <w:rPr>
          <w:rFonts w:ascii="Times New Roman" w:hAnsi="Times New Roman"/>
          <w:sz w:val="20"/>
          <w:szCs w:val="20"/>
          <w:lang w:val="en-US"/>
        </w:rPr>
        <w:t xml:space="preserve"> sealed radioactive source implanted into or next to the solid tumor directly or through catheters as an alternative therapy</w:t>
      </w:r>
      <w:r w:rsidR="00D37517">
        <w:rPr>
          <w:rFonts w:ascii="Times New Roman" w:hAnsi="Times New Roman"/>
          <w:sz w:val="20"/>
          <w:szCs w:val="20"/>
          <w:lang w:val="en-US"/>
        </w:rPr>
        <w:fldChar w:fldCharType="begin" w:fldLock="1"/>
      </w:r>
      <w:r w:rsidR="00D37517">
        <w:rPr>
          <w:rFonts w:ascii="Times New Roman" w:hAnsi="Times New Roman"/>
          <w:sz w:val="20"/>
          <w:szCs w:val="20"/>
          <w:lang w:val="en-US"/>
        </w:rPr>
        <w:instrText>ADDIN CSL_CITATION {"citationItems":[{"id":"ITEM-1","itemData":{"DOI":"10.1016/j.rpor.2011.11.003","ISSN":"15071367","author":[{"dropping-particle":"","family":"Guedea","given":"Ferran","non-dropping-particle":"","parse-names":false,"suffix":""}],"container-title":"Reports of Practical Oncology and Radiotherapy","id":"ITEM-1","issue":"6","issued":{"date-parts":[["2011"]]},"page":"203-206","title":"Recent developments in brachytherapy","type":"article-journal","volume":"16"},"uris":["http://www.mendeley.com/documents/?uuid=da215684-4be4-457e-b12d-4f74595c1390"]}],"mendeley":{"formattedCitation":"&lt;sup&gt;3&lt;/sup&gt;","plainTextFormattedCitation":"3","previouslyFormattedCitation":"&lt;sup&gt;3&lt;/sup&gt;"},"properties":{"noteIndex":0},"schema":"https://github.com/citation-style-language/schema/raw/master/csl-citation.json"}</w:instrText>
      </w:r>
      <w:r w:rsidR="00D37517">
        <w:rPr>
          <w:rFonts w:ascii="Times New Roman" w:hAnsi="Times New Roman"/>
          <w:sz w:val="20"/>
          <w:szCs w:val="20"/>
          <w:lang w:val="en-US"/>
        </w:rPr>
        <w:fldChar w:fldCharType="separate"/>
      </w:r>
      <w:r w:rsidR="00D37517" w:rsidRPr="00D37517">
        <w:rPr>
          <w:rFonts w:ascii="Times New Roman" w:hAnsi="Times New Roman"/>
          <w:noProof/>
          <w:sz w:val="20"/>
          <w:szCs w:val="20"/>
          <w:vertAlign w:val="superscript"/>
          <w:lang w:val="en-US"/>
        </w:rPr>
        <w:t>3</w:t>
      </w:r>
      <w:r w:rsidR="00D37517">
        <w:rPr>
          <w:rFonts w:ascii="Times New Roman" w:hAnsi="Times New Roman"/>
          <w:sz w:val="20"/>
          <w:szCs w:val="20"/>
          <w:lang w:val="en-US"/>
        </w:rPr>
        <w:fldChar w:fldCharType="end"/>
      </w:r>
      <w:r w:rsidRPr="00D03E74">
        <w:rPr>
          <w:rFonts w:ascii="Times New Roman" w:hAnsi="Times New Roman"/>
          <w:sz w:val="20"/>
          <w:szCs w:val="20"/>
          <w:lang w:val="en-US"/>
        </w:rPr>
        <w:t>.</w:t>
      </w:r>
      <w:r w:rsidRPr="00D03E74">
        <w:rPr>
          <w:rFonts w:ascii="Times New Roman" w:hAnsi="Times New Roman"/>
          <w:sz w:val="20"/>
          <w:szCs w:val="20"/>
        </w:rPr>
        <w:t xml:space="preserve"> The sources are generally made of metal radioactive in the form of a wire or seed. Permanent implants are </w:t>
      </w:r>
      <w:r w:rsidR="00AB7F17">
        <w:rPr>
          <w:rFonts w:ascii="Times New Roman" w:hAnsi="Times New Roman"/>
          <w:sz w:val="20"/>
          <w:szCs w:val="20"/>
        </w:rPr>
        <w:t>typic</w:t>
      </w:r>
      <w:r w:rsidRPr="00D03E74">
        <w:rPr>
          <w:rFonts w:ascii="Times New Roman" w:hAnsi="Times New Roman"/>
          <w:sz w:val="20"/>
          <w:szCs w:val="20"/>
        </w:rPr>
        <w:t xml:space="preserve">ally used </w:t>
      </w:r>
      <w:r w:rsidRPr="00D03E74">
        <w:rPr>
          <w:rFonts w:ascii="Times New Roman" w:hAnsi="Times New Roman"/>
          <w:sz w:val="20"/>
          <w:szCs w:val="20"/>
          <w:vertAlign w:val="superscript"/>
        </w:rPr>
        <w:t>198</w:t>
      </w:r>
      <w:r w:rsidRPr="00D03E74">
        <w:rPr>
          <w:rFonts w:ascii="Times New Roman" w:hAnsi="Times New Roman"/>
          <w:sz w:val="20"/>
          <w:szCs w:val="20"/>
        </w:rPr>
        <w:t xml:space="preserve">Au </w:t>
      </w:r>
      <w:r w:rsidRPr="00D03E74">
        <w:rPr>
          <w:rFonts w:ascii="Times New Roman" w:hAnsi="Times New Roman"/>
          <w:sz w:val="20"/>
          <w:szCs w:val="20"/>
          <w:vertAlign w:val="superscript"/>
        </w:rPr>
        <w:t>103</w:t>
      </w:r>
      <w:r w:rsidRPr="00D03E74">
        <w:rPr>
          <w:rFonts w:ascii="Times New Roman" w:hAnsi="Times New Roman"/>
          <w:sz w:val="20"/>
          <w:szCs w:val="20"/>
        </w:rPr>
        <w:t xml:space="preserve">Pd, or </w:t>
      </w:r>
      <w:r w:rsidRPr="00D03E74">
        <w:rPr>
          <w:rFonts w:ascii="Times New Roman" w:hAnsi="Times New Roman"/>
          <w:sz w:val="20"/>
          <w:szCs w:val="20"/>
          <w:vertAlign w:val="superscript"/>
        </w:rPr>
        <w:t>131</w:t>
      </w:r>
      <w:r w:rsidRPr="00D03E74">
        <w:rPr>
          <w:rFonts w:ascii="Times New Roman" w:hAnsi="Times New Roman"/>
          <w:sz w:val="20"/>
          <w:szCs w:val="20"/>
        </w:rPr>
        <w:t xml:space="preserve">Cs and </w:t>
      </w:r>
      <w:r w:rsidRPr="00D03E74">
        <w:rPr>
          <w:rFonts w:ascii="Times New Roman" w:hAnsi="Times New Roman"/>
          <w:sz w:val="20"/>
          <w:szCs w:val="20"/>
          <w:vertAlign w:val="superscript"/>
        </w:rPr>
        <w:t>125</w:t>
      </w:r>
      <w:r w:rsidRPr="00D03E74">
        <w:rPr>
          <w:rFonts w:ascii="Times New Roman" w:hAnsi="Times New Roman"/>
          <w:sz w:val="20"/>
          <w:szCs w:val="20"/>
        </w:rPr>
        <w:t>I to treat breast,</w:t>
      </w:r>
      <w:r w:rsidR="00890568">
        <w:rPr>
          <w:rFonts w:ascii="Times New Roman" w:hAnsi="Times New Roman"/>
          <w:sz w:val="20"/>
          <w:szCs w:val="20"/>
        </w:rPr>
        <w:t xml:space="preserve"> and </w:t>
      </w:r>
      <w:r w:rsidRPr="00D03E74">
        <w:rPr>
          <w:rFonts w:ascii="Times New Roman" w:hAnsi="Times New Roman"/>
          <w:sz w:val="20"/>
          <w:szCs w:val="20"/>
        </w:rPr>
        <w:t>prostate cancer, gynecological tumors, and other cancer treatment</w:t>
      </w:r>
      <w:r w:rsidR="00D37517">
        <w:rPr>
          <w:rFonts w:ascii="Times New Roman" w:hAnsi="Times New Roman"/>
          <w:sz w:val="20"/>
          <w:szCs w:val="20"/>
        </w:rPr>
        <w:t xml:space="preserve"> </w:t>
      </w:r>
      <w:r w:rsidR="00D37517">
        <w:rPr>
          <w:rFonts w:ascii="Times New Roman" w:hAnsi="Times New Roman"/>
          <w:sz w:val="20"/>
          <w:szCs w:val="20"/>
        </w:rPr>
        <w:fldChar w:fldCharType="begin" w:fldLock="1"/>
      </w:r>
      <w:r w:rsidR="00D37517">
        <w:rPr>
          <w:rFonts w:ascii="Times New Roman" w:hAnsi="Times New Roman"/>
          <w:sz w:val="20"/>
          <w:szCs w:val="20"/>
        </w:rPr>
        <w:instrText>ADDIN CSL_CITATION {"citationItems":[{"id":"ITEM-1","itemData":{"DOI":"10.1118/1.1924347","ISSN":"00942405","PMID":"16013717","abstract":"The American Association of Physicists in Medicine Task Group 43 reports, AAPM TG-43 and its update TG-43U1, provide an analytical model and a dosimetry protocol for brachytherapy dose calculations, as well as documentation and results for some sealed sources. The radionuclide 198Au (T 1/2=2.70 days, Eγ=412 keV) has been used in the form of seeds for brachytherapy treatments including brain, eye, and prostate tumors. However, TG-43 reports have no data for 198Au seeds, and none have previously been obtained. For that reason, and because of the conversion of most treatment planning systems to TG-43 based methods, both Monte Carlo calculations (MCNP 4C2) and thermoluminescent dosimeters (TLDs) are used in this work to determine these data. The geometric variation in dose is measured using an array of TLDs in a solid water phantom, and the seed activity is determined using a high purity germanium detector (HPGe) and a well ionization chamber. The results for air kerma strength, Sk, per unit apparent activity, are 2.063 (MCNP) and 2.089 (measured) U mCi-1, values close to those published in 1991 in the AAPM Task Group 32 report. The dose rate constant, Λ, is found equal to 1.115 (MCNP) and 1.095 (measured) cGy h-1 U-1. The radial dose function, g(r), anisotropy function, F(r, θ), and anisotropy factor, φan(r), are also given. © 2005 American Association of Physicists in Medicine.","author":[{"dropping-particle":"","family":"Dauffy","given":"Lucile S.","non-dropping-particle":"","parse-names":false,"suffix":""},{"dropping-particle":"","family":"Braby","given":"Leslie A.","non-dropping-particle":"","parse-names":false,"suffix":""},{"dropping-particle":"","family":"Berner","given":"Barry M.","non-dropping-particle":"","parse-names":false,"suffix":""}],"container-title":"Medical Physics","id":"ITEM-1","issue":"6","issued":{"date-parts":[["2005"]]},"page":"1579-1588","title":"Dosimetry of the 198Au source used in interstitial brachytherapy","type":"article-journal","volume":"32"},"uris":["http://www.mendeley.com/documents/?uuid=d263c1f4-7de6-4d5e-ad93-328637231bf8"]},{"id":"ITEM-2","itemData":{"DOI":"10.1016/j.brachy.2016.11.011","ISSN":"18731449","PMID":"28039011","abstract":"Purpose A brachytherapy (BT) device has been developed with shielding to provide directional BT for preferentially irradiating malignancies while sparing healthy tissues. The CivaSheet is a flexible low-dose-rate BT device containing CivaDots with 103Pd shielded by a thin Au disk. This is the first report of a clinical dosimetric characterization of the CivaSheet device. Methods and Materials Radiation dose distributions near a CivaDot were estimated using the MCNP6 radiation transport code. CivaSheet arrays were also modeled to evaluate the dose superposition principle for treatment planning. The resultant data were commissioned in a treatment planning system (TPS) (VariSeed 9.0), and the accuracy of the dose superposition principle was evaluated for summing individual elements comprising a planar CivaSheet. Results The dose-rate constant (0.579 cGy/h/U) was lower than for 103Pd seeds due to Au L-shell x-rays increasing the air-kerma strength. Radial dose function values at 0.1, 0.5, 2, 5, and 10 cm were 1.884, 1.344, 0.558, 0.088, and 0.0046, respectively. The two-dimensional anisotropy function exhibited dramatic reduction between the forward (0°) and rearward (180°) directions by a factor of 276 at r = 0.1 cm, 24 at r = 1 cm, and 5.3 at r = 10 cm. This effect diminished due to increasingly scattered radiation. The largest gradient in the two-dimensional anisotropy function was in contact with the device at 92° due to the Au disk shielding. TPS commissioning and dose superposition accuracies were typically within 2%. Conclusions Simulations of the CivaDot yielded comprehensive dosimetry parameters that were entered into a TPS and deemed acceptable for clinical use. Dosimetry measurements of the CivaSheet are also of interest to the BT community.","author":[{"dropping-particle":"","family":"Rivard","given":"Mark J.","non-dropping-particle":"","parse-names":false,"suffix":""}],"container-title":"Brachytherapy","id":"ITEM-2","issue":"2","issued":{"date-parts":[["2017"]]},"page":"421-432","publisher":"Elsevier Inc","title":"A directional 103Pd brachytherapy device: Dosimetric characterization and practical aspects for clinical use","type":"article-journal","volume":"16"},"uris":["http://www.mendeley.com/documents/?uuid=329b510c-a67f-4892-be6f-bf44d3fe45b1"]},{"id":"ITEM-3","itemData":{"DOI":"10.2147/OTT.S154973","ISSN":"11786930","abstract":"Purpose: This study aimed to compare the outcomes of 125I seed brachytherapy versus external beam radiation therapy (EBRT) for the palliation of painful bone metastases of lung cancer after one cycle of chemotherapy progression. Materials and methods: We analyzed retrospectively 158 patients with painful bone metastases secondary to lung cancer after one cycle of chemotherapy progression treated between June 2013 and May 2016. Seventy-six patients with 96 lesions received 125 I brachytherapy (Group A), whereas 82 patients with 98 metastases received EBRT (Group B). Pain intensity on Brief Pain Inventory, percentage of patients with pain severity, and quality of life were recorded prior to treatment (T 0 ), 2, 4, 6, 8, 12, 16, 20, and 24 weeks (T 2 , T 4 , T 6 , T 8 , T 12 , T 16 , T 20 , and T 24 ) after treatment during a 24-hour period. Cost-effectiveness and number of treatment appointments were also compared between groups. Results: One hundred and fifty-eight patients had been treated. Visual analog scale for worst pain in Group A was significantly lower than in Group B at T 2 , T 4 , T 6 , T 16 , T 20 , and T 24 . Group A was superior to group B concerning quality of life scores (T 2 , T 4 , T 20 , and T 24 ), cost-effectiveness, and number of treatment appointments. No significant differences were observed for complications. Conclusion: Compared with EBRT, 125 I seed brachytherapy can be an alternative method for painful bone metastases from lung cancer after one cycle of chemotherapy progression.","author":[{"dropping-particle":"","family":"Xiang","given":"Zhanwang","non-dropping-particle":"","parse-names":false,"suffix":""},{"dropping-particle":"","family":"Wang","given":"Lifei","non-dropping-particle":"","parse-names":false,"suffix":""},{"dropping-particle":"","family":"Yan","given":"Huzheng","non-dropping-particle":"","parse-names":false,"suffix":""},{"dropping-particle":"","family":"Zhong","given":"Zhihui","non-dropping-particle":"","parse-names":false,"suffix":""},{"dropping-particle":"","family":"Liu","given":"Wangkai","non-dropping-particle":"","parse-names":false,"suffix":""},{"dropping-particle":"","family":"Mo","given":"Zhiqiang","non-dropping-particle":"","parse-names":false,"suffix":""},{"dropping-particle":"","family":"Gao","given":"Fei","non-dropping-particle":"","parse-names":false,"suffix":""},{"dropping-particle":"","family":"Zhang","given":"Fujun","non-dropping-particle":"","parse-names":false,"suffix":""}],"container-title":"OncoTargets and Therapy","id":"ITEM-3","issued":{"date-parts":[["2018"]]},"page":"5183-5193","title":"125 I seed brachytherapy versus external beam radiation therapy for the palliation of painful bone metastases of lung cancer after one cycle of chemotherapy progression","type":"article-journal","volume":"11"},"uris":["http://www.mendeley.com/documents/?uuid=4c0776ee-26c6-4481-a741-b7b53cd15547"]}],"mendeley":{"formattedCitation":"&lt;sup&gt;4–6&lt;/sup&gt;","plainTextFormattedCitation":"4–6","previouslyFormattedCitation":"&lt;sup&gt;4–6&lt;/sup&gt;"},"properties":{"noteIndex":0},"schema":"https://github.com/citation-style-language/schema/raw/master/csl-citation.json"}</w:instrText>
      </w:r>
      <w:r w:rsidR="00D37517">
        <w:rPr>
          <w:rFonts w:ascii="Times New Roman" w:hAnsi="Times New Roman"/>
          <w:sz w:val="20"/>
          <w:szCs w:val="20"/>
        </w:rPr>
        <w:fldChar w:fldCharType="separate"/>
      </w:r>
      <w:r w:rsidR="00D37517" w:rsidRPr="00D37517">
        <w:rPr>
          <w:rFonts w:ascii="Times New Roman" w:hAnsi="Times New Roman"/>
          <w:noProof/>
          <w:sz w:val="20"/>
          <w:szCs w:val="20"/>
          <w:vertAlign w:val="superscript"/>
        </w:rPr>
        <w:t>4–6</w:t>
      </w:r>
      <w:r w:rsidR="00D37517">
        <w:rPr>
          <w:rFonts w:ascii="Times New Roman" w:hAnsi="Times New Roman"/>
          <w:sz w:val="20"/>
          <w:szCs w:val="20"/>
        </w:rPr>
        <w:fldChar w:fldCharType="end"/>
      </w:r>
      <w:r w:rsidR="00D37517">
        <w:rPr>
          <w:rFonts w:ascii="Times New Roman" w:hAnsi="Times New Roman"/>
          <w:sz w:val="20"/>
          <w:szCs w:val="20"/>
        </w:rPr>
        <w:t xml:space="preserve">. </w:t>
      </w:r>
      <w:r w:rsidR="00890568" w:rsidRPr="00890568">
        <w:rPr>
          <w:rFonts w:ascii="Times New Roman" w:hAnsi="Times New Roman"/>
          <w:sz w:val="20"/>
          <w:szCs w:val="20"/>
        </w:rPr>
        <w:t>Seed brachytherapy I</w:t>
      </w:r>
      <w:r w:rsidR="00890568">
        <w:rPr>
          <w:rFonts w:ascii="Times New Roman" w:hAnsi="Times New Roman"/>
          <w:sz w:val="20"/>
          <w:szCs w:val="20"/>
        </w:rPr>
        <w:t>odine</w:t>
      </w:r>
      <w:r w:rsidR="00890568" w:rsidRPr="00890568">
        <w:rPr>
          <w:rFonts w:ascii="Times New Roman" w:hAnsi="Times New Roman"/>
          <w:sz w:val="20"/>
          <w:szCs w:val="20"/>
        </w:rPr>
        <w:t xml:space="preserve">-125 is made of titanium microtube with an outside diameter, inner diameter, and a length of 0.8 mm, 0.6 mm, </w:t>
      </w:r>
      <w:r w:rsidR="00890568">
        <w:rPr>
          <w:rFonts w:ascii="Times New Roman" w:hAnsi="Times New Roman"/>
          <w:sz w:val="20"/>
          <w:szCs w:val="20"/>
        </w:rPr>
        <w:t xml:space="preserve">and </w:t>
      </w:r>
      <w:r w:rsidR="00890568" w:rsidRPr="00890568">
        <w:rPr>
          <w:rFonts w:ascii="Times New Roman" w:hAnsi="Times New Roman"/>
          <w:sz w:val="20"/>
          <w:szCs w:val="20"/>
        </w:rPr>
        <w:t xml:space="preserve">5 mm, respectively. Microtube filled with isotopes of the I-125 that has been adsorbed on silver wire diameter of 0.5 mm and a length of 3 mm. </w:t>
      </w:r>
      <w:r w:rsidR="00890568">
        <w:rPr>
          <w:rFonts w:ascii="Times New Roman" w:hAnsi="Times New Roman"/>
          <w:sz w:val="20"/>
          <w:szCs w:val="20"/>
        </w:rPr>
        <w:t>The p</w:t>
      </w:r>
      <w:r w:rsidR="00890568" w:rsidRPr="00890568">
        <w:rPr>
          <w:rFonts w:ascii="Times New Roman" w:hAnsi="Times New Roman"/>
          <w:sz w:val="20"/>
          <w:szCs w:val="20"/>
        </w:rPr>
        <w:t>rocess of metal seed require</w:t>
      </w:r>
      <w:r w:rsidR="00890568">
        <w:rPr>
          <w:rFonts w:ascii="Times New Roman" w:hAnsi="Times New Roman"/>
          <w:sz w:val="20"/>
          <w:szCs w:val="20"/>
        </w:rPr>
        <w:t>s</w:t>
      </w:r>
      <w:r w:rsidR="00890568" w:rsidRPr="00890568">
        <w:rPr>
          <w:rFonts w:ascii="Times New Roman" w:hAnsi="Times New Roman"/>
          <w:sz w:val="20"/>
          <w:szCs w:val="20"/>
        </w:rPr>
        <w:t xml:space="preserve"> laser welding for the closing process of microcapsules and has a micro camera as a guide in the process of seed production</w:t>
      </w:r>
      <w:r w:rsidR="00890568">
        <w:rPr>
          <w:rFonts w:ascii="Times New Roman" w:hAnsi="Times New Roman"/>
          <w:sz w:val="20"/>
          <w:szCs w:val="20"/>
        </w:rPr>
        <w:fldChar w:fldCharType="begin" w:fldLock="1"/>
      </w:r>
      <w:r w:rsidR="00890568">
        <w:rPr>
          <w:rFonts w:ascii="Times New Roman" w:hAnsi="Times New Roman"/>
          <w:sz w:val="20"/>
          <w:szCs w:val="20"/>
        </w:rPr>
        <w:instrText>ADDIN CSL_CITATION {"citationItems":[{"id":"ITEM-1","itemData":{"DOI":"10.1016/j.pnucene.2012.09.011","ISSN":"01491970","abstract":"Brachytherapy using iodine-125 seeds has been used in prostate cancer treatment. In the quality control routine during seed production, leakage tests are taken to detect any leakage of radioactive material from inside the titanium shield, avoiding patient contamination. Leakage tests are carried out according to the International Standard Organization - Radiation protection - sealed radioactive sources - ISO 9978. This standard recommends different methods of essay applied to radioactive seeds. The aims of this work were the study of the different leakage test methods applied to radioactive seeds recommended by the ISO 9978 and the choice of the appropriate method to be used in the seeds production. The authors evaluated five different immersion methods to detect leakage, following the standard guidance, and in some case exceeding its requirement. One hundred iodine-125 seeds were intentionally cuted, causing the release of its content. Each immersion method was applied to twenty seeds. After the immersion period, the resulting liquid activity was measured. The activity values measured in the immersion liquid indicated best results with distilled water as immersion liquid and with the application of ultrasound to the bath. The temperature of the bath ranged from 20 °C to 70 °C and the immersion time ranged from 30 min to 24 h. In this experiment, the use of scintillator liquid as immersion liquid was not effective to detect the leakage. The results allow the authors to choose the best methods to be applied in the production routine, to detect leakage in the seeds. The choice of the method will also depend on the production rhythm for schedule. In a moderate production rate, the test at 20 °C and 24 h immersion may be used. In a fast production rhythm, the shortest test 50 °C or 70 °C should be used. © 2012 Elsevier Ltd. All rights reserved.","author":[{"dropping-particle":"","family":"Moura","given":"João Augusto","non-dropping-particle":"","parse-names":false,"suffix":""},{"dropping-particle":"","family":"Daruich De Souza","given":"Carla","non-dropping-particle":"","parse-names":false,"suffix":""},{"dropping-particle":"","family":"Chuery Martins Rostelato","given":"Maria Elisa","non-dropping-particle":"","parse-names":false,"suffix":""},{"dropping-particle":"","family":"Santana De Moura","given":"Eduardo","non-dropping-particle":"","parse-names":false,"suffix":""},{"dropping-particle":"","family":"Sprenger","given":"Francisco Edmundo","non-dropping-particle":"","parse-names":false,"suffix":""},{"dropping-particle":"","family":"Nagatomi","given":"Hélio Rissey","non-dropping-particle":"","parse-names":false,"suffix":""},{"dropping-particle":"","family":"Zeituni","given":"Carlos Alberto","non-dropping-particle":"","parse-names":false,"suffix":""},{"dropping-particle":"","family":"Feher","given":"Anselmo","non-dropping-particle":"","parse-names":false,"suffix":""},{"dropping-particle":"","family":"Manzoli","given":"José Eduardo","non-dropping-particle":"","parse-names":false,"suffix":""}],"container-title":"Progress in Nuclear Energy","id":"ITEM-1","issued":{"date-parts":[["2013"]]},"page":"79-82","publisher":"Elsevier Ltd","title":"Leakage test methodology development in iodine-125 seeds production","type":"article-journal","volume":"62"},"uris":["http://www.mendeley.com/documents/?uuid=bbe1b2c2-6bf8-40b2-88e5-1303d07fc35a"]}],"mendeley":{"formattedCitation":"&lt;sup&gt;7&lt;/sup&gt;","plainTextFormattedCitation":"7","previouslyFormattedCitation":"&lt;sup&gt;7&lt;/sup&gt;"},"properties":{"noteIndex":0},"schema":"https://github.com/citation-style-language/schema/raw/master/csl-citation.json"}</w:instrText>
      </w:r>
      <w:r w:rsidR="00890568">
        <w:rPr>
          <w:rFonts w:ascii="Times New Roman" w:hAnsi="Times New Roman"/>
          <w:sz w:val="20"/>
          <w:szCs w:val="20"/>
        </w:rPr>
        <w:fldChar w:fldCharType="separate"/>
      </w:r>
      <w:r w:rsidR="00890568" w:rsidRPr="00890568">
        <w:rPr>
          <w:rFonts w:ascii="Times New Roman" w:hAnsi="Times New Roman"/>
          <w:noProof/>
          <w:sz w:val="20"/>
          <w:szCs w:val="20"/>
          <w:vertAlign w:val="superscript"/>
        </w:rPr>
        <w:t>7</w:t>
      </w:r>
      <w:r w:rsidR="00890568">
        <w:rPr>
          <w:rFonts w:ascii="Times New Roman" w:hAnsi="Times New Roman"/>
          <w:sz w:val="20"/>
          <w:szCs w:val="20"/>
        </w:rPr>
        <w:fldChar w:fldCharType="end"/>
      </w:r>
      <w:r w:rsidR="00890568" w:rsidRPr="00890568">
        <w:rPr>
          <w:rFonts w:ascii="Times New Roman" w:hAnsi="Times New Roman"/>
          <w:sz w:val="20"/>
          <w:szCs w:val="20"/>
        </w:rPr>
        <w:t>.</w:t>
      </w:r>
    </w:p>
    <w:p w14:paraId="0FC43BEF" w14:textId="2FE02BCF" w:rsidR="00890568" w:rsidRDefault="00103351" w:rsidP="00890568">
      <w:pPr>
        <w:spacing w:after="0"/>
        <w:ind w:firstLine="284"/>
        <w:jc w:val="both"/>
        <w:rPr>
          <w:rFonts w:ascii="Times New Roman" w:hAnsi="Times New Roman"/>
          <w:sz w:val="20"/>
          <w:szCs w:val="20"/>
        </w:rPr>
      </w:pPr>
      <w:r w:rsidRPr="002D526A">
        <w:rPr>
          <w:rFonts w:ascii="Times New Roman" w:hAnsi="Times New Roman"/>
          <w:sz w:val="20"/>
          <w:szCs w:val="20"/>
        </w:rPr>
        <w:lastRenderedPageBreak/>
        <w:t>Biomaterial technology advances have triggered brachytherapy development from metal-sealed sources to ceramic-based materials, especially lanthanide-based ceramic</w:t>
      </w:r>
      <w:r w:rsidR="00D37517" w:rsidRPr="002D526A">
        <w:rPr>
          <w:rFonts w:ascii="Times New Roman" w:hAnsi="Times New Roman"/>
          <w:sz w:val="20"/>
          <w:szCs w:val="20"/>
        </w:rPr>
        <w:fldChar w:fldCharType="begin" w:fldLock="1"/>
      </w:r>
      <w:r w:rsidR="00F9527A" w:rsidRPr="002D526A">
        <w:rPr>
          <w:rFonts w:ascii="Times New Roman" w:hAnsi="Times New Roman"/>
          <w:sz w:val="20"/>
          <w:szCs w:val="20"/>
        </w:rPr>
        <w:instrText>ADDIN CSL_CITATION {"citationItems":[{"id":"ITEM-1","itemData":{"DOI":"10.1590/S1516-14392011005000006","ISSN":"15161439","abstract":"Ceramic seeds were synthesized by the sol-gel technique with Si:Sm:Ca. One sample was irradiated in the TRIGA nuclear reactor IPR-R1. After irradiation, the seeds were submitted to instrumental neutron activation analysis to determine the 153Sm concentration in weight. The same irradiated seed sample was submitted to gamma spectrometry analysis to determine all existing radionuclides as well as its individual activities. A second sample was submitted to ICP-AES atomic emission spectrometry. A third sample was submitted to X-ray fluorescence spectrometry to determine qualitative chemical composition. The measured activity was due to 153Sm with a wellcharacterized gamma spectrum. The X-ray fluorescence spectrum demonstrates that there is no discrepancy in seed composition. Maximum range of beta particles from 153Sm were evaluated, as well as the total dose and dose rate on its range's volume. The results are relevant for investigation of the viability of producing 153Sm radioactive seeds for use in brachytherapy. © 2011.","author":[{"dropping-particle":"","family":"Valente","given":"Eduardo Sarmento","non-dropping-particle":"","parse-names":false,"suffix":""},{"dropping-particle":"","family":"Ethel Mizrahy Cuperschmid","given":"","non-dropping-particle":"","parse-names":false,"suffix":""},{"dropping-particle":"","family":"Campos","given":"Tarcísio Passos Ribeiro","non-dropping-particle":"De","parse-names":false,"suffix":""}],"container-title":"Materials Research","id":"ITEM-1","issue":"1","issued":{"date-parts":[["2011"]]},"page":"21-24","title":"Characterization of ceramic seeds with samarium-153 for use in brachytherapy","type":"article-journal","volume":"14"},"uris":["http://www.mendeley.com/documents/?uuid=473a21b4-ffa4-41de-9abd-532f9af479a2"]},{"id":"ITEM-2","itemData":{"DOI":"10.1016/j.apradiso.2010.07.011","ISSN":"09698043","PMID":"20685128","abstract":"Ceramic seeds were synthesized by the sol-gel technique with Si:Sm:Ca and Si:Ho:Ca. One set of seeds was irradiated in the TRIGA type nuclear reactor IPR-R1 and submitted to instrumental neutron activation analysis (INAA), K0 method, to determine mass percentage concentration of natural samarium and holmium in the seed as well as to determine all existing radionuclides and their activities. Attention was paid to discrimination of Si-31, Ca-40, Ca-45, Ca-47, Ca-49, Sm-145, Sm-155, Sm-153 and Ho-166. A second sample was submitted to atomic emission spectrometry (ICP-AES) also to determine samarium and holmium concentrations in weight. A third sample was submitted to X-ray fluorescence spectrometry to qualitatively determine chemical composition. The measured activity was due to Sm-153 and Ho-166 with a well-characterized gamma spectrum. The X-ray fluorescence spectrum demonstrated that there is no discrepancy in seed composition. The maximum ranges in the water of beta particles from Sm-153 and Ho-166 decay were evaluated, as well as the dose rate and total dose delivered within the volume delimited by the range of the beta particles. The results are relevant for investigation of the viability of producing Sm-153 and Ho-166 radioactive seeds for use in brachytherapy. © 2010 Elsevier Ltd.","author":[{"dropping-particle":"","family":"Valente","given":"Eduardo S.","non-dropping-particle":"","parse-names":false,"suffix":""},{"dropping-particle":"","family":"Campos","given":"Tarcísio P.R.","non-dropping-particle":"","parse-names":false,"suffix":""}],"container-title":"Applied Radiation and Isotopes","id":"ITEM-2","issue":"12","issued":{"date-parts":[["2010"]]},"page":"2157-2162","title":"Gamma spectrometry and chemical characterization of ceramic seeds with samarium-153 and holmium-166 for brachytherapy proposal","type":"article-journal","volume":"68"},"uris":["http://www.mendeley.com/documents/?uuid=8c2cdfc1-2cac-4947-82c0-1380617795b6"]},{"id":"ITEM-3","itemData":{"ISBN":"9788599141021","author":[{"dropping-particle":"","family":"Junior","given":"Iorque L Barbosa","non-dropping-particle":"","parse-names":false,"suffix":""},{"dropping-particle":"","family":"Campos","given":"Tarcisio P R","non-dropping-particle":"","parse-names":false,"suffix":""}],"id":"ITEM-3","issued":{"date-parts":[["2007"]]},"title":"Dosimetry of a Polymeric System for Radiation Delivery Applied To Brachytherapy","type":"article-journal"},"uris":["http://www.mendeley.com/documents/?uuid=57e56871-555a-4164-b43b-db5ac1c09ba9"]},{"id":"ITEM-4","itemData":{"DOI":"10.1016/j.pnucene.2008.01.007","ISSN":"01491970","abstract":"Bioceramics are attractive for radiation therapy. Implants in animals made of bioglasses of Si-Ca-Sm-153 will be addressed. Herein, the biocompatibility and biodegradability of Sm ceramic seeds produced by the sol-gel process are investigated, as well as, it will analyze the absorbed doses produced by the beta and gamma particles generated by Sm-153 decay, in the rabbit's liver. A set of Sm seeds was implanted in the liver of a rabbit. The high ecogenicity of the seed in the liver turns it easily identifiable in ultrasonography. The capacity of absorption of the seeds was investigated in the organ monitored by ultrasonography. Seven months later, after radiological exploration, the seeds showed to be absorbed in the liver. The biodegradability was also verified by X-ray, attesting what had already been observed in the ultrasonography. A computational model was also elaborated to predict absorbed doses in multiple seed's arrangements. CT images of the thoracic-abdominal area of the rabbit were digitalized and used to produce the voxel computational model. Dosimetry was accomplished through the MCNP5 code. Spatial dose rate distribution in the liver is presented. The results will help in future the project of the radioactive implants using hot-ceramic-seeds. © 2008 Elsevier Ltd. All rights reserved.","author":[{"dropping-particle":"","family":"Campos","given":"Tarcísio P.R.","non-dropping-particle":"","parse-names":false,"suffix":""},{"dropping-particle":"","family":"Andrade","given":"João Paulo L.","non-dropping-particle":"","parse-names":false,"suffix":""},{"dropping-particle":"","family":"Costa","given":"Igor T.","non-dropping-particle":"","parse-names":false,"suffix":""},{"dropping-particle":"","family":"Silva","given":"Cleuza Helena T.","non-dropping-particle":"","parse-names":false,"suffix":""}],"container-title":"Progress in Nuclear Energy","id":"ITEM-4","issue":"7","issued":{"date-parts":[["2008"]]},"page":"757-766","title":"Study of the Sm-153 seeds degradation and evaluation of the absorbed dose in rabbit's liver implants","type":"article-journal","volume":"50"},"uris":["http://www.mendeley.com/documents/?uuid=476bd9b9-52b9-4008-b8cd-da6694642597"]}],"mendeley":{"formattedCitation":"&lt;sup&gt;8–11&lt;/sup&gt;","plainTextFormattedCitation":"8–11","previouslyFormattedCitation":"&lt;sup&gt;8–11&lt;/sup&gt;"},"properties":{"noteIndex":0},"schema":"https://github.com/citation-style-language/schema/raw/master/csl-citation.json"}</w:instrText>
      </w:r>
      <w:r w:rsidR="00D37517" w:rsidRPr="002D526A">
        <w:rPr>
          <w:rFonts w:ascii="Times New Roman" w:hAnsi="Times New Roman"/>
          <w:sz w:val="20"/>
          <w:szCs w:val="20"/>
        </w:rPr>
        <w:fldChar w:fldCharType="separate"/>
      </w:r>
      <w:r w:rsidR="00F9527A" w:rsidRPr="002D526A">
        <w:rPr>
          <w:rFonts w:ascii="Times New Roman" w:hAnsi="Times New Roman"/>
          <w:noProof/>
          <w:sz w:val="20"/>
          <w:szCs w:val="20"/>
          <w:vertAlign w:val="superscript"/>
        </w:rPr>
        <w:t>8–11</w:t>
      </w:r>
      <w:r w:rsidR="00D37517" w:rsidRPr="002D526A">
        <w:rPr>
          <w:rFonts w:ascii="Times New Roman" w:hAnsi="Times New Roman"/>
          <w:sz w:val="20"/>
          <w:szCs w:val="20"/>
        </w:rPr>
        <w:fldChar w:fldCharType="end"/>
      </w:r>
      <w:r w:rsidRPr="00D03E74">
        <w:rPr>
          <w:rFonts w:ascii="Times New Roman" w:hAnsi="Times New Roman"/>
          <w:sz w:val="20"/>
          <w:szCs w:val="20"/>
        </w:rPr>
        <w:t>.</w:t>
      </w:r>
      <w:r w:rsidR="00890568">
        <w:rPr>
          <w:rFonts w:ascii="Times New Roman" w:hAnsi="Times New Roman"/>
          <w:sz w:val="20"/>
          <w:szCs w:val="20"/>
        </w:rPr>
        <w:t xml:space="preserve"> </w:t>
      </w:r>
      <w:r w:rsidRPr="00D03E74">
        <w:rPr>
          <w:rFonts w:ascii="Times New Roman" w:hAnsi="Times New Roman"/>
          <w:sz w:val="20"/>
          <w:szCs w:val="20"/>
        </w:rPr>
        <w:t xml:space="preserve">In nuclear medicine and radiology applications, lanthanide elements play an </w:t>
      </w:r>
      <w:r w:rsidR="00AB7F17">
        <w:rPr>
          <w:rFonts w:ascii="Times New Roman" w:hAnsi="Times New Roman"/>
          <w:sz w:val="20"/>
          <w:szCs w:val="20"/>
        </w:rPr>
        <w:t>essential</w:t>
      </w:r>
      <w:r w:rsidRPr="00D03E74">
        <w:rPr>
          <w:rFonts w:ascii="Times New Roman" w:hAnsi="Times New Roman"/>
          <w:sz w:val="20"/>
          <w:szCs w:val="20"/>
        </w:rPr>
        <w:t xml:space="preserve"> role in the diagnosis and therapy of cancer. Samarium is one of the lanthanide elements with atomic number 62. Samarium-153 is made from Samarium-152</w:t>
      </w:r>
      <w:r w:rsidR="00AB7F17">
        <w:rPr>
          <w:rFonts w:ascii="Times New Roman" w:hAnsi="Times New Roman"/>
          <w:sz w:val="20"/>
          <w:szCs w:val="20"/>
        </w:rPr>
        <w:t>,</w:t>
      </w:r>
      <w:r w:rsidRPr="00D03E74">
        <w:rPr>
          <w:rFonts w:ascii="Times New Roman" w:hAnsi="Times New Roman"/>
          <w:sz w:val="20"/>
          <w:szCs w:val="20"/>
        </w:rPr>
        <w:t xml:space="preserve"> which is a stable isotope with </w:t>
      </w:r>
      <w:r w:rsidR="008531B0" w:rsidRPr="00D03E74">
        <w:rPr>
          <w:rFonts w:ascii="Times New Roman" w:hAnsi="Times New Roman"/>
          <w:sz w:val="20"/>
          <w:szCs w:val="20"/>
        </w:rPr>
        <w:t xml:space="preserve">an </w:t>
      </w:r>
      <w:r w:rsidRPr="00D03E74">
        <w:rPr>
          <w:rFonts w:ascii="Times New Roman" w:hAnsi="Times New Roman"/>
          <w:sz w:val="20"/>
          <w:szCs w:val="20"/>
        </w:rPr>
        <w:t xml:space="preserve">abundance in nature </w:t>
      </w:r>
      <w:r w:rsidR="008531B0" w:rsidRPr="00D03E74">
        <w:rPr>
          <w:rFonts w:ascii="Times New Roman" w:hAnsi="Times New Roman"/>
          <w:sz w:val="20"/>
          <w:szCs w:val="20"/>
        </w:rPr>
        <w:t xml:space="preserve">of </w:t>
      </w:r>
      <w:r w:rsidRPr="00D03E74">
        <w:rPr>
          <w:rFonts w:ascii="Times New Roman" w:hAnsi="Times New Roman"/>
          <w:sz w:val="20"/>
          <w:szCs w:val="20"/>
        </w:rPr>
        <w:t xml:space="preserve">26.7%. Radioisotope Samarium-153 is a beta emitter with </w:t>
      </w:r>
      <w:r w:rsidR="008531B0" w:rsidRPr="00D03E74">
        <w:rPr>
          <w:rFonts w:ascii="Times New Roman" w:hAnsi="Times New Roman"/>
          <w:sz w:val="20"/>
          <w:szCs w:val="20"/>
        </w:rPr>
        <w:t xml:space="preserve">the </w:t>
      </w:r>
      <w:r w:rsidRPr="00D03E74">
        <w:rPr>
          <w:rFonts w:ascii="Times New Roman" w:hAnsi="Times New Roman"/>
          <w:sz w:val="20"/>
          <w:szCs w:val="20"/>
        </w:rPr>
        <w:t>energy of 640 KeV and 820.7 KeV</w:t>
      </w:r>
      <w:r w:rsidR="00AB7F17">
        <w:rPr>
          <w:rFonts w:ascii="Times New Roman" w:hAnsi="Times New Roman"/>
          <w:sz w:val="20"/>
          <w:szCs w:val="20"/>
        </w:rPr>
        <w:t>,</w:t>
      </w:r>
      <w:r w:rsidRPr="00D03E74">
        <w:rPr>
          <w:rFonts w:ascii="Times New Roman" w:hAnsi="Times New Roman"/>
          <w:sz w:val="20"/>
          <w:szCs w:val="20"/>
        </w:rPr>
        <w:t xml:space="preserve"> which can be used for therapy. In addition</w:t>
      </w:r>
      <w:r w:rsidR="008531B0" w:rsidRPr="00D03E74">
        <w:rPr>
          <w:rFonts w:ascii="Times New Roman" w:hAnsi="Times New Roman"/>
          <w:sz w:val="20"/>
          <w:szCs w:val="20"/>
        </w:rPr>
        <w:t>,</w:t>
      </w:r>
      <w:r w:rsidRPr="00D03E74">
        <w:rPr>
          <w:rFonts w:ascii="Times New Roman" w:hAnsi="Times New Roman"/>
          <w:sz w:val="20"/>
          <w:szCs w:val="20"/>
        </w:rPr>
        <w:t xml:space="preserve"> Samarium-153 emits 103 KeV gamma energy that can be used for diagnos</w:t>
      </w:r>
      <w:r w:rsidR="008531B0" w:rsidRPr="00D03E74">
        <w:rPr>
          <w:rFonts w:ascii="Times New Roman" w:hAnsi="Times New Roman"/>
          <w:sz w:val="20"/>
          <w:szCs w:val="20"/>
        </w:rPr>
        <w:t>is</w:t>
      </w:r>
      <w:r w:rsidRPr="00D03E74">
        <w:rPr>
          <w:rFonts w:ascii="Times New Roman" w:hAnsi="Times New Roman"/>
          <w:sz w:val="20"/>
          <w:szCs w:val="20"/>
        </w:rPr>
        <w:t>. The use of radioisotopes lanthanides</w:t>
      </w:r>
      <w:r w:rsidR="00AB7F17">
        <w:rPr>
          <w:rFonts w:ascii="Times New Roman" w:hAnsi="Times New Roman"/>
          <w:sz w:val="20"/>
          <w:szCs w:val="20"/>
        </w:rPr>
        <w:t>,</w:t>
      </w:r>
      <w:r w:rsidRPr="00D03E74">
        <w:rPr>
          <w:rFonts w:ascii="Times New Roman" w:hAnsi="Times New Roman"/>
          <w:sz w:val="20"/>
          <w:szCs w:val="20"/>
        </w:rPr>
        <w:t xml:space="preserve"> </w:t>
      </w:r>
      <w:r w:rsidR="00AB7F17">
        <w:rPr>
          <w:rFonts w:ascii="Times New Roman" w:hAnsi="Times New Roman"/>
          <w:sz w:val="20"/>
          <w:szCs w:val="20"/>
        </w:rPr>
        <w:t>main</w:t>
      </w:r>
      <w:r w:rsidRPr="00D03E74">
        <w:rPr>
          <w:rFonts w:ascii="Times New Roman" w:hAnsi="Times New Roman"/>
          <w:sz w:val="20"/>
          <w:szCs w:val="20"/>
        </w:rPr>
        <w:t>ly Samarium-153</w:t>
      </w:r>
      <w:r w:rsidR="00AB7F17">
        <w:rPr>
          <w:rFonts w:ascii="Times New Roman" w:hAnsi="Times New Roman"/>
          <w:sz w:val="20"/>
          <w:szCs w:val="20"/>
        </w:rPr>
        <w:t>,</w:t>
      </w:r>
      <w:r w:rsidRPr="00D03E74">
        <w:rPr>
          <w:rFonts w:ascii="Times New Roman" w:hAnsi="Times New Roman"/>
          <w:sz w:val="20"/>
          <w:szCs w:val="20"/>
        </w:rPr>
        <w:t xml:space="preserve"> is currently used in liquid pharmaceutical preparations for injection, such as Sm-EDTMP</w:t>
      </w:r>
      <w:r w:rsidR="00F9527A">
        <w:rPr>
          <w:rFonts w:ascii="Times New Roman" w:hAnsi="Times New Roman"/>
          <w:sz w:val="20"/>
          <w:szCs w:val="20"/>
        </w:rPr>
        <w:t xml:space="preserve"> </w:t>
      </w:r>
      <w:r w:rsidR="00D37517">
        <w:rPr>
          <w:rFonts w:ascii="Times New Roman" w:hAnsi="Times New Roman"/>
          <w:sz w:val="20"/>
          <w:szCs w:val="20"/>
        </w:rPr>
        <w:fldChar w:fldCharType="begin" w:fldLock="1"/>
      </w:r>
      <w:r w:rsidR="00F9527A">
        <w:rPr>
          <w:rFonts w:ascii="Times New Roman" w:hAnsi="Times New Roman"/>
          <w:sz w:val="20"/>
          <w:szCs w:val="20"/>
        </w:rPr>
        <w:instrText>ADDIN CSL_CITATION {"citationItems":[{"id":"ITEM-1","itemData":{"DOI":"10.1007/s00774-013-0507-0","ISSN":"14355604","PMID":"24122249","abstract":"We evaluated the pain response and daily discomfort in patients suffering from a borderline degree of bone pain due to breast or lung cancer bone metastases, who had undergone early palliative radionuclide treatment. The results were compared with those from patients who had received standard analgesic therapy. Twenty-one patients (65.7 ± 3 years; 17 women) with metastatic bone cancer underwent samarium-153 (Sm-153) ethylene diamine tetramethylene phosphonate (EDTMP) administration (group A) and 18 patients (64.3 ± 8 years; 16 women) continued to receive standard analgesics (group B; control group). The patients kept a daily pain diary assessing both their discomfort and the pain at specific sites by means of a visual analog scale, rating from 0 (no discomfort-no pain) to 10 (worst discomfort-pain). These diaries were reviewed weekly for 2 months and three physicians rated the pain response on a scale from -2 (considerable deterioration) to +2 (considerable improvement). Baseline characteristics were similar in both groups. The reduction of total discomfort and of bone pain in group A was significantly greater compared to group B (p &lt; 0.0001). A significant improvement of clinical conditions was observed in group A, where the physician rate changed from -1 to 1, compared to group B in which the rate changed from -1 to 0. Sm-153 EDTMP therapy can be considered for patients with bone pain from breast and lung cancer in advance, i.e., before the establishment of severe pain syndrome. © 2013 The Japanese Society for Bone and Mineral Research and Springer.","author":[{"dropping-particle":"","family":"Gallicchio","given":"Rosj","non-dropping-particle":"","parse-names":false,"suffix":""},{"dropping-particle":"","family":"Giacomobono","given":"Sabrina","non-dropping-particle":"","parse-names":false,"suffix":""},{"dropping-particle":"","family":"Nardelli","given":"Anna","non-dropping-particle":"","parse-names":false,"suffix":""},{"dropping-particle":"","family":"Pellegrino","given":"Teresa","non-dropping-particle":"","parse-names":false,"suffix":""},{"dropping-particle":"","family":"Simeon","given":"Vittorio","non-dropping-particle":"","parse-names":false,"suffix":""},{"dropping-particle":"","family":"Gattozzi","given":"Domenico","non-dropping-particle":"","parse-names":false,"suffix":""},{"dropping-particle":"","family":"Maddalena","given":"Francesca","non-dropping-particle":"","parse-names":false,"suffix":""},{"dropping-particle":"","family":"Mainenti","given":"Pierpaolo","non-dropping-particle":"","parse-names":false,"suffix":""},{"dropping-particle":"","family":"Storto","given":"Giovanni","non-dropping-particle":"","parse-names":false,"suffix":""}],"container-title":"Journal of Bone and Mineral Metabolism","id":"ITEM-1","issue":"4","issued":{"date-parts":[["2014"]]},"page":"434-440","title":"Palliative treatment of bone metastases with samarium-153 EDTMP at onset of pain","type":"article-journal","volume":"32"},"uris":["http://www.mendeley.com/documents/?uuid=ed7b3d38-213d-48ca-b3e6-d0cc8a881f1d"]},{"id":"ITEM-2","itemData":{"DOI":"10.1007/s00259-010-1592-0","ISSN":"16197070","PMID":"20799033","author":[{"dropping-particle":"","family":"Tiemann","given":"Klaus","non-dropping-particle":"","parse-names":false,"suffix":""},{"dropping-particle":"","family":"Stymann","given":"Jörg","non-dropping-particle":"","parse-names":false,"suffix":""},{"dropping-particle":"","family":"Landeta","given":"Federico","non-dropping-particle":"","parse-names":false,"suffix":""},{"dropping-particle":"","family":"Wiebe","given":"Stefanie","non-dropping-particle":"","parse-names":false,"suffix":""},{"dropping-particle":"","family":"Schäfers","given":"Michael","non-dropping-particle":"","parse-names":false,"suffix":""},{"dropping-particle":"","family":"Schober","given":"Otmar","non-dropping-particle":"","parse-names":false,"suffix":""},{"dropping-particle":"","family":"Weckesser","given":"Matthias","non-dropping-particle":"","parse-names":false,"suffix":""},{"dropping-particle":"","family":"Rahbar","given":"Kambiz","non-dropping-particle":"","parse-names":false,"suffix":""}],"container-title":"European Journal of Nuclear Medicine and Molecular Imaging","id":"ITEM-2","issue":"12","issued":{"date-parts":[["2010"]]},"page":"2406","title":"Three-dimensional echocardiography and 153Sm-EDTMP SPECT/CT in extensive cardiac metastases from osteosarcoma","type":"article-journal","volume":"37"},"uris":["http://www.mendeley.com/documents/?uuid=1f6a4b8b-ea5f-4847-8d74-12aa7af935a0"]}],"mendeley":{"formattedCitation":"&lt;sup&gt;12,13&lt;/sup&gt;","plainTextFormattedCitation":"12,13","previouslyFormattedCitation":"&lt;sup&gt;12,13&lt;/sup&gt;"},"properties":{"noteIndex":0},"schema":"https://github.com/citation-style-language/schema/raw/master/csl-citation.json"}</w:instrText>
      </w:r>
      <w:r w:rsidR="00D37517">
        <w:rPr>
          <w:rFonts w:ascii="Times New Roman" w:hAnsi="Times New Roman"/>
          <w:sz w:val="20"/>
          <w:szCs w:val="20"/>
        </w:rPr>
        <w:fldChar w:fldCharType="separate"/>
      </w:r>
      <w:r w:rsidR="00F9527A" w:rsidRPr="00F9527A">
        <w:rPr>
          <w:rFonts w:ascii="Times New Roman" w:hAnsi="Times New Roman"/>
          <w:noProof/>
          <w:sz w:val="20"/>
          <w:szCs w:val="20"/>
          <w:vertAlign w:val="superscript"/>
        </w:rPr>
        <w:t>12,13</w:t>
      </w:r>
      <w:r w:rsidR="00D37517">
        <w:rPr>
          <w:rFonts w:ascii="Times New Roman" w:hAnsi="Times New Roman"/>
          <w:sz w:val="20"/>
          <w:szCs w:val="20"/>
        </w:rPr>
        <w:fldChar w:fldCharType="end"/>
      </w:r>
      <w:r w:rsidR="00D37517">
        <w:rPr>
          <w:rFonts w:ascii="Times New Roman" w:hAnsi="Times New Roman"/>
          <w:sz w:val="20"/>
          <w:szCs w:val="20"/>
        </w:rPr>
        <w:t>.</w:t>
      </w:r>
      <w:r w:rsidRPr="00D03E74">
        <w:rPr>
          <w:rFonts w:ascii="Times New Roman" w:hAnsi="Times New Roman"/>
          <w:sz w:val="20"/>
          <w:szCs w:val="20"/>
        </w:rPr>
        <w:t xml:space="preserve"> </w:t>
      </w:r>
      <w:r w:rsidR="00890568" w:rsidRPr="00890568">
        <w:rPr>
          <w:rFonts w:ascii="Times New Roman" w:hAnsi="Times New Roman"/>
          <w:sz w:val="20"/>
          <w:szCs w:val="20"/>
        </w:rPr>
        <w:t xml:space="preserve">Metal-based brachytherapy with complicated manufacturing </w:t>
      </w:r>
      <w:r w:rsidR="00890568">
        <w:rPr>
          <w:rFonts w:ascii="Times New Roman" w:hAnsi="Times New Roman"/>
          <w:sz w:val="20"/>
          <w:szCs w:val="20"/>
        </w:rPr>
        <w:t>processes</w:t>
      </w:r>
      <w:r w:rsidR="00890568" w:rsidRPr="00890568">
        <w:rPr>
          <w:rFonts w:ascii="Times New Roman" w:hAnsi="Times New Roman"/>
          <w:sz w:val="20"/>
          <w:szCs w:val="20"/>
        </w:rPr>
        <w:t xml:space="preserve"> and expensive production costs make the biodegradable bioceramics with samarium isotope-based are very likely to replace it </w:t>
      </w:r>
      <w:r w:rsidR="00890568">
        <w:rPr>
          <w:rFonts w:ascii="Times New Roman" w:hAnsi="Times New Roman"/>
          <w:sz w:val="20"/>
          <w:szCs w:val="20"/>
        </w:rPr>
        <w:fldChar w:fldCharType="begin" w:fldLock="1"/>
      </w:r>
      <w:r w:rsidR="00F9527A">
        <w:rPr>
          <w:rFonts w:ascii="Times New Roman" w:hAnsi="Times New Roman"/>
          <w:sz w:val="20"/>
          <w:szCs w:val="20"/>
        </w:rPr>
        <w:instrText>ADDIN CSL_CITATION {"citationItems":[{"id":"ITEM-1","itemData":{"ISSN":"0971-1198","abstract":"The uses of bioceramics have been revolutionizing the biomedical field in deployment as implants for humans. Many implant materials made of ceramics have been used for the past three decades. In the search to improve the biocompatibility and mechanical strength of implant materials, attention has been directed towards the potential use of ceramic/ceramic composites. The ceramic-based biomaterials have been accepted after biological evaluation through several in vivo and in vitro tests. In this review an attempt has been made to elicit some of the in vivo and in vitro studies performed on bioceramics, ceramic/ceramic composites and their applications as implants.","author":[{"dropping-particle":"V","family":"Thamaraiselvi","given":"T","non-dropping-particle":"","parse-names":false,"suffix":""},{"dropping-particle":"","family":"Rajeswari","given":"S","non-dropping-particle":"","parse-names":false,"suffix":""}],"container-title":"Trends Biomater. Artif. Organs,","id":"ITEM-1","issue":"1","issued":{"date-parts":[["2004"]]},"page":"9-17","title":"Biological Evaluation of Bioceramic Materials - A Review","type":"article-journal","volume":"18"},"uris":["http://www.mendeley.com/documents/?uuid=b98526d5-3d13-45c7-814c-6eff832eaf25"]}],"mendeley":{"formattedCitation":"&lt;sup&gt;14&lt;/sup&gt;","plainTextFormattedCitation":"14","previouslyFormattedCitation":"&lt;sup&gt;14&lt;/sup&gt;"},"properties":{"noteIndex":0},"schema":"https://github.com/citation-style-language/schema/raw/master/csl-citation.json"}</w:instrText>
      </w:r>
      <w:r w:rsidR="00890568">
        <w:rPr>
          <w:rFonts w:ascii="Times New Roman" w:hAnsi="Times New Roman"/>
          <w:sz w:val="20"/>
          <w:szCs w:val="20"/>
        </w:rPr>
        <w:fldChar w:fldCharType="separate"/>
      </w:r>
      <w:r w:rsidR="00F9527A" w:rsidRPr="00F9527A">
        <w:rPr>
          <w:rFonts w:ascii="Times New Roman" w:hAnsi="Times New Roman"/>
          <w:noProof/>
          <w:sz w:val="20"/>
          <w:szCs w:val="20"/>
          <w:vertAlign w:val="superscript"/>
        </w:rPr>
        <w:t>14</w:t>
      </w:r>
      <w:r w:rsidR="00890568">
        <w:rPr>
          <w:rFonts w:ascii="Times New Roman" w:hAnsi="Times New Roman"/>
          <w:sz w:val="20"/>
          <w:szCs w:val="20"/>
        </w:rPr>
        <w:fldChar w:fldCharType="end"/>
      </w:r>
      <w:r w:rsidR="00890568" w:rsidRPr="00890568">
        <w:rPr>
          <w:rFonts w:ascii="Times New Roman" w:hAnsi="Times New Roman"/>
          <w:sz w:val="20"/>
          <w:szCs w:val="20"/>
        </w:rPr>
        <w:t xml:space="preserve">.  </w:t>
      </w:r>
    </w:p>
    <w:p w14:paraId="10451970" w14:textId="4B4C5F86" w:rsidR="00103351" w:rsidRDefault="00890568" w:rsidP="00897463">
      <w:pPr>
        <w:spacing w:after="0"/>
        <w:ind w:firstLine="284"/>
        <w:jc w:val="both"/>
        <w:rPr>
          <w:rFonts w:ascii="Times New Roman" w:hAnsi="Times New Roman"/>
          <w:sz w:val="20"/>
          <w:szCs w:val="20"/>
        </w:rPr>
      </w:pPr>
      <w:r w:rsidRPr="00890568">
        <w:rPr>
          <w:rFonts w:ascii="Times New Roman" w:hAnsi="Times New Roman"/>
          <w:sz w:val="20"/>
          <w:szCs w:val="20"/>
        </w:rPr>
        <w:t>Samarium seed synthesis is more easily made by mixing the main ingredient with some mixture of compounds that act as filler</w:t>
      </w:r>
      <w:r w:rsidR="00F9527A">
        <w:rPr>
          <w:rFonts w:ascii="Times New Roman" w:hAnsi="Times New Roman"/>
          <w:sz w:val="20"/>
          <w:szCs w:val="20"/>
        </w:rPr>
        <w:t>s</w:t>
      </w:r>
      <w:r w:rsidRPr="00890568">
        <w:rPr>
          <w:rFonts w:ascii="Times New Roman" w:hAnsi="Times New Roman"/>
          <w:sz w:val="20"/>
          <w:szCs w:val="20"/>
        </w:rPr>
        <w:t xml:space="preserve"> and binder</w:t>
      </w:r>
      <w:r w:rsidR="00F9527A">
        <w:rPr>
          <w:rFonts w:ascii="Times New Roman" w:hAnsi="Times New Roman"/>
          <w:sz w:val="20"/>
          <w:szCs w:val="20"/>
        </w:rPr>
        <w:t>s</w:t>
      </w:r>
      <w:r w:rsidRPr="00890568">
        <w:rPr>
          <w:rFonts w:ascii="Times New Roman" w:hAnsi="Times New Roman"/>
          <w:sz w:val="20"/>
          <w:szCs w:val="20"/>
        </w:rPr>
        <w:t>. The sol-gel method</w:t>
      </w:r>
      <w:r>
        <w:rPr>
          <w:rFonts w:ascii="Times New Roman" w:hAnsi="Times New Roman"/>
          <w:sz w:val="20"/>
          <w:szCs w:val="20"/>
        </w:rPr>
        <w:t xml:space="preserve"> </w:t>
      </w:r>
      <w:r w:rsidR="00F9527A">
        <w:rPr>
          <w:rFonts w:ascii="Times New Roman" w:hAnsi="Times New Roman"/>
          <w:sz w:val="20"/>
          <w:szCs w:val="20"/>
        </w:rPr>
        <w:t>is</w:t>
      </w:r>
      <w:r w:rsidRPr="00890568">
        <w:rPr>
          <w:rFonts w:ascii="Times New Roman" w:hAnsi="Times New Roman"/>
          <w:sz w:val="20"/>
          <w:szCs w:val="20"/>
        </w:rPr>
        <w:t xml:space="preserve"> used to prepare homogeneous samarium ceramics. In this process</w:t>
      </w:r>
      <w:r w:rsidR="00AB7F17">
        <w:rPr>
          <w:rFonts w:ascii="Times New Roman" w:hAnsi="Times New Roman"/>
          <w:sz w:val="20"/>
          <w:szCs w:val="20"/>
        </w:rPr>
        <w:t>,</w:t>
      </w:r>
      <w:r w:rsidRPr="00890568">
        <w:rPr>
          <w:rFonts w:ascii="Times New Roman" w:hAnsi="Times New Roman"/>
          <w:sz w:val="20"/>
          <w:szCs w:val="20"/>
        </w:rPr>
        <w:t xml:space="preserve"> each raw material </w:t>
      </w:r>
      <w:r w:rsidR="00F9527A">
        <w:rPr>
          <w:rFonts w:ascii="Times New Roman" w:hAnsi="Times New Roman"/>
          <w:sz w:val="20"/>
          <w:szCs w:val="20"/>
        </w:rPr>
        <w:t xml:space="preserve">is </w:t>
      </w:r>
      <w:r w:rsidRPr="00890568">
        <w:rPr>
          <w:rFonts w:ascii="Times New Roman" w:hAnsi="Times New Roman"/>
          <w:sz w:val="20"/>
          <w:szCs w:val="20"/>
        </w:rPr>
        <w:t>dissolved by certain solvents to produce a homogeneous solution</w:t>
      </w:r>
      <w:r w:rsidR="00AB7F17">
        <w:rPr>
          <w:rFonts w:ascii="Times New Roman" w:hAnsi="Times New Roman"/>
          <w:sz w:val="20"/>
          <w:szCs w:val="20"/>
        </w:rPr>
        <w:t>. A</w:t>
      </w:r>
      <w:r w:rsidRPr="00890568">
        <w:rPr>
          <w:rFonts w:ascii="Times New Roman" w:hAnsi="Times New Roman"/>
          <w:sz w:val="20"/>
          <w:szCs w:val="20"/>
        </w:rPr>
        <w:t xml:space="preserve">fter the solution is condensed to get a colloidal mixture in the form of </w:t>
      </w:r>
      <w:r w:rsidR="00F9527A">
        <w:rPr>
          <w:rFonts w:ascii="Times New Roman" w:hAnsi="Times New Roman"/>
          <w:sz w:val="20"/>
          <w:szCs w:val="20"/>
        </w:rPr>
        <w:t xml:space="preserve">a </w:t>
      </w:r>
      <w:r w:rsidRPr="00890568">
        <w:rPr>
          <w:rFonts w:ascii="Times New Roman" w:hAnsi="Times New Roman"/>
          <w:sz w:val="20"/>
          <w:szCs w:val="20"/>
        </w:rPr>
        <w:t xml:space="preserve">sol, then gradual drying process </w:t>
      </w:r>
      <w:r w:rsidR="00F9527A">
        <w:rPr>
          <w:rFonts w:ascii="Times New Roman" w:hAnsi="Times New Roman"/>
          <w:sz w:val="20"/>
          <w:szCs w:val="20"/>
        </w:rPr>
        <w:t xml:space="preserve">is </w:t>
      </w:r>
      <w:r w:rsidRPr="00890568">
        <w:rPr>
          <w:rFonts w:ascii="Times New Roman" w:hAnsi="Times New Roman"/>
          <w:sz w:val="20"/>
          <w:szCs w:val="20"/>
        </w:rPr>
        <w:t xml:space="preserve">conducted to get </w:t>
      </w:r>
      <w:r w:rsidR="00F9527A">
        <w:rPr>
          <w:rFonts w:ascii="Times New Roman" w:hAnsi="Times New Roman"/>
          <w:sz w:val="20"/>
          <w:szCs w:val="20"/>
        </w:rPr>
        <w:t xml:space="preserve">a </w:t>
      </w:r>
      <w:r w:rsidRPr="00890568">
        <w:rPr>
          <w:rFonts w:ascii="Times New Roman" w:hAnsi="Times New Roman"/>
          <w:sz w:val="20"/>
          <w:szCs w:val="20"/>
        </w:rPr>
        <w:t xml:space="preserve">gel mixture. Next, gel dried to remove the solvent and change to xerogel or aerogel. Finally, </w:t>
      </w:r>
      <w:r w:rsidR="00F9527A">
        <w:rPr>
          <w:rFonts w:ascii="Times New Roman" w:hAnsi="Times New Roman"/>
          <w:sz w:val="20"/>
          <w:szCs w:val="20"/>
        </w:rPr>
        <w:t>the g</w:t>
      </w:r>
      <w:r w:rsidRPr="00890568">
        <w:rPr>
          <w:rFonts w:ascii="Times New Roman" w:hAnsi="Times New Roman"/>
          <w:sz w:val="20"/>
          <w:szCs w:val="20"/>
        </w:rPr>
        <w:t xml:space="preserve">el that has been free of the solvent </w:t>
      </w:r>
      <w:r w:rsidR="00F9527A">
        <w:rPr>
          <w:rFonts w:ascii="Times New Roman" w:hAnsi="Times New Roman"/>
          <w:sz w:val="20"/>
          <w:szCs w:val="20"/>
        </w:rPr>
        <w:t xml:space="preserve">is </w:t>
      </w:r>
      <w:r w:rsidRPr="00890568">
        <w:rPr>
          <w:rFonts w:ascii="Times New Roman" w:hAnsi="Times New Roman"/>
          <w:sz w:val="20"/>
          <w:szCs w:val="20"/>
        </w:rPr>
        <w:t>heated at a high temperature (sintering) below the melting point of the mixture to strengthen the bonds a</w:t>
      </w:r>
      <w:r w:rsidR="00AB7F17">
        <w:rPr>
          <w:rFonts w:ascii="Times New Roman" w:hAnsi="Times New Roman"/>
          <w:sz w:val="20"/>
          <w:szCs w:val="20"/>
        </w:rPr>
        <w:t>nd</w:t>
      </w:r>
      <w:r w:rsidRPr="00890568">
        <w:rPr>
          <w:rFonts w:ascii="Times New Roman" w:hAnsi="Times New Roman"/>
          <w:sz w:val="20"/>
          <w:szCs w:val="20"/>
        </w:rPr>
        <w:t xml:space="preserve"> form </w:t>
      </w:r>
      <w:r w:rsidR="00AB7F17">
        <w:rPr>
          <w:rFonts w:ascii="Times New Roman" w:hAnsi="Times New Roman"/>
          <w:sz w:val="20"/>
          <w:szCs w:val="20"/>
        </w:rPr>
        <w:t xml:space="preserve">an </w:t>
      </w:r>
      <w:r w:rsidRPr="00890568">
        <w:rPr>
          <w:rFonts w:ascii="Times New Roman" w:hAnsi="Times New Roman"/>
          <w:sz w:val="20"/>
          <w:szCs w:val="20"/>
        </w:rPr>
        <w:t xml:space="preserve">oxides compound </w:t>
      </w:r>
      <w:r>
        <w:rPr>
          <w:rFonts w:ascii="Times New Roman" w:hAnsi="Times New Roman"/>
          <w:sz w:val="20"/>
          <w:szCs w:val="20"/>
        </w:rPr>
        <w:fldChar w:fldCharType="begin" w:fldLock="1"/>
      </w:r>
      <w:r w:rsidR="00F9527A">
        <w:rPr>
          <w:rFonts w:ascii="Times New Roman" w:hAnsi="Times New Roman"/>
          <w:sz w:val="20"/>
          <w:szCs w:val="20"/>
        </w:rPr>
        <w:instrText>ADDIN CSL_CITATION {"citationItems":[{"id":"ITEM-1","itemData":{"DOI":"10.14429/dsj.57.1765","ISSN":"0011748X","abstract":"Sol-gel processes refer to the transition of predefined compositions of inorganic alkoxides precursors from liquid sol phase to solid gel phase. The phenomenon of sol-gel was known to mankind for more than ISO years. It is because of concerted efforts of researchers from multidisciplinary fields, sol-gel science transformed to technology. Several products are already commercially available for applications in optical coatings, nanocomposites, and public healthcare. Potential applications in the areas of biosensors and environmental monitoring are expected. Newer applications with nanotechnology appear too exciting. An attempt has been made to address important applications of sol-gel technology, particularly in sensing techniques from the defence perspective. © 2007, DESIDOC.","author":[{"dropping-particle":"","family":"Chaudhury","given":"N. K.","non-dropping-particle":"","parse-names":false,"suffix":""},{"dropping-particle":"","family":"Gupta","given":"R.","non-dropping-particle":"","parse-names":false,"suffix":""},{"dropping-particle":"","family":"Gulia","given":"S.","non-dropping-particle":"","parse-names":false,"suffix":""}],"container-title":"Defence Science Journal","id":"ITEM-1","issue":"3","issued":{"date-parts":[["2007"]]},"page":"241-253","title":"Sol-gel technology for sensor applications","type":"article-journal","volume":"57"},"uris":["http://www.mendeley.com/documents/?uuid=a7fec3ee-3583-4532-8de6-2b0b70a99fa7"]},{"id":"ITEM-2","itemData":{"author":[{"dropping-particle":"","family":"Methods","given":"Sol-gel","non-dropping-particle":"","parse-names":false,"suffix":""}],"id":"ITEM-2","issued":{"date-parts":[["0"]]},"page":"1-13","title":"Sol-Gel Methods Sol-gel process : Sol-Gel Methods","type":"article-journal"},"uris":["http://www.mendeley.com/documents/?uuid=b2682fab-88bb-4a6a-a2b4-c781ef4f0d60"]}],"mendeley":{"formattedCitation":"&lt;sup&gt;15,16&lt;/sup&gt;","plainTextFormattedCitation":"15,16","previouslyFormattedCitation":"&lt;sup&gt;15,16&lt;/sup&gt;"},"properties":{"noteIndex":0},"schema":"https://github.com/citation-style-language/schema/raw/master/csl-citation.json"}</w:instrText>
      </w:r>
      <w:r>
        <w:rPr>
          <w:rFonts w:ascii="Times New Roman" w:hAnsi="Times New Roman"/>
          <w:sz w:val="20"/>
          <w:szCs w:val="20"/>
        </w:rPr>
        <w:fldChar w:fldCharType="separate"/>
      </w:r>
      <w:r w:rsidR="00F9527A" w:rsidRPr="00F9527A">
        <w:rPr>
          <w:rFonts w:ascii="Times New Roman" w:hAnsi="Times New Roman"/>
          <w:noProof/>
          <w:sz w:val="20"/>
          <w:szCs w:val="20"/>
          <w:vertAlign w:val="superscript"/>
        </w:rPr>
        <w:t>15,16</w:t>
      </w:r>
      <w:r>
        <w:rPr>
          <w:rFonts w:ascii="Times New Roman" w:hAnsi="Times New Roman"/>
          <w:sz w:val="20"/>
          <w:szCs w:val="20"/>
        </w:rPr>
        <w:fldChar w:fldCharType="end"/>
      </w:r>
      <w:r w:rsidRPr="00890568">
        <w:rPr>
          <w:rFonts w:ascii="Times New Roman" w:hAnsi="Times New Roman"/>
          <w:sz w:val="20"/>
          <w:szCs w:val="20"/>
        </w:rPr>
        <w:t>.</w:t>
      </w:r>
      <w:r>
        <w:rPr>
          <w:rFonts w:ascii="Times New Roman" w:hAnsi="Times New Roman"/>
          <w:sz w:val="20"/>
          <w:szCs w:val="20"/>
        </w:rPr>
        <w:t xml:space="preserve"> </w:t>
      </w:r>
      <w:r w:rsidRPr="00890568">
        <w:rPr>
          <w:rFonts w:ascii="Times New Roman" w:hAnsi="Times New Roman"/>
          <w:sz w:val="20"/>
          <w:szCs w:val="20"/>
        </w:rPr>
        <w:t>Calcium oxide compounds can be used as bioceramics seed</w:t>
      </w:r>
      <w:r w:rsidR="00970372">
        <w:rPr>
          <w:rFonts w:ascii="Times New Roman" w:hAnsi="Times New Roman"/>
          <w:sz w:val="20"/>
          <w:szCs w:val="20"/>
        </w:rPr>
        <w:t>s</w:t>
      </w:r>
      <w:r w:rsidR="00AB7F17">
        <w:rPr>
          <w:rFonts w:ascii="Times New Roman" w:hAnsi="Times New Roman"/>
          <w:sz w:val="20"/>
          <w:szCs w:val="20"/>
        </w:rPr>
        <w:t>,</w:t>
      </w:r>
      <w:r w:rsidRPr="00890568">
        <w:rPr>
          <w:rFonts w:ascii="Times New Roman" w:hAnsi="Times New Roman"/>
          <w:sz w:val="20"/>
          <w:szCs w:val="20"/>
        </w:rPr>
        <w:t xml:space="preserve"> while the silica filler serves as a binder between the </w:t>
      </w:r>
      <w:r w:rsidR="00AB7F17">
        <w:rPr>
          <w:rFonts w:ascii="Times New Roman" w:hAnsi="Times New Roman"/>
          <w:sz w:val="20"/>
          <w:szCs w:val="20"/>
        </w:rPr>
        <w:t>primary</w:t>
      </w:r>
      <w:r w:rsidRPr="00890568">
        <w:rPr>
          <w:rFonts w:ascii="Times New Roman" w:hAnsi="Times New Roman"/>
          <w:sz w:val="20"/>
          <w:szCs w:val="20"/>
        </w:rPr>
        <w:t xml:space="preserve"> material and a</w:t>
      </w:r>
      <w:r w:rsidR="00F9527A">
        <w:rPr>
          <w:rFonts w:ascii="Times New Roman" w:hAnsi="Times New Roman"/>
          <w:sz w:val="20"/>
          <w:szCs w:val="20"/>
        </w:rPr>
        <w:t>n</w:t>
      </w:r>
      <w:r w:rsidRPr="00890568">
        <w:rPr>
          <w:rFonts w:ascii="Times New Roman" w:hAnsi="Times New Roman"/>
          <w:sz w:val="20"/>
          <w:szCs w:val="20"/>
        </w:rPr>
        <w:t xml:space="preserve"> added material</w:t>
      </w:r>
      <w:r>
        <w:rPr>
          <w:rFonts w:ascii="Times New Roman" w:hAnsi="Times New Roman"/>
          <w:sz w:val="20"/>
          <w:szCs w:val="20"/>
        </w:rPr>
        <w:fldChar w:fldCharType="begin" w:fldLock="1"/>
      </w:r>
      <w:r w:rsidR="00F9527A">
        <w:rPr>
          <w:rFonts w:ascii="Times New Roman" w:hAnsi="Times New Roman"/>
          <w:sz w:val="20"/>
          <w:szCs w:val="20"/>
        </w:rPr>
        <w:instrText>ADDIN CSL_CITATION {"citationItems":[{"id":"ITEM-1","itemData":{"DOI":"10.1016/j.pnucene.2008.01.007","ISSN":"01491970","abstract":"Bioceramics are attractive for radiation therapy. Implants in animals made of bioglasses of Si-Ca-Sm-153 will be addressed. Herein, the biocompatibility and biodegradability of Sm ceramic seeds produced by the sol-gel process are investigated, as well as, it will analyze the absorbed doses produced by the beta and gamma particles generated by Sm-153 decay, in the rabbit's liver. A set of Sm seeds was implanted in the liver of a rabbit. The high ecogenicity of the seed in the liver turns it easily identifiable in ultrasonography. The capacity of absorption of the seeds was investigated in the organ monitored by ultrasonography. Seven months later, after radiological exploration, the seeds showed to be absorbed in the liver. The biodegradability was also verified by X-ray, attesting what had already been observed in the ultrasonography. A computational model was also elaborated to predict absorbed doses in multiple seed's arrangements. CT images of the thoracic-abdominal area of the rabbit were digitalized and used to produce the voxel computational model. Dosimetry was accomplished through the MCNP5 code. Spatial dose rate distribution in the liver is presented. The results will help in future the project of the radioactive implants using hot-ceramic-seeds. © 2008 Elsevier Ltd. All rights reserved.","author":[{"dropping-particle":"","family":"Campos","given":"Tarcísio P.R.","non-dropping-particle":"","parse-names":false,"suffix":""},{"dropping-particle":"","family":"Andrade","given":"João Paulo L.","non-dropping-particle":"","parse-names":false,"suffix":""},{"dropping-particle":"","family":"Costa","given":"Igor T.","non-dropping-particle":"","parse-names":false,"suffix":""},{"dropping-particle":"","family":"Silva","given":"Cleuza Helena T.","non-dropping-particle":"","parse-names":false,"suffix":""}],"container-title":"Progress in Nuclear Energy","id":"ITEM-1","issue":"7","issued":{"date-parts":[["2008"]]},"page":"757-766","title":"Study of the Sm-153 seeds degradation and evaluation of the absorbed dose in rabbit's liver implants","type":"article-journal","volume":"50"},"uris":["http://www.mendeley.com/documents/?uuid=476bd9b9-52b9-4008-b8cd-da6694642597"]}],"mendeley":{"formattedCitation":"&lt;sup&gt;11&lt;/sup&gt;","plainTextFormattedCitation":"11","previouslyFormattedCitation":"&lt;sup&gt;11&lt;/sup&gt;"},"properties":{"noteIndex":0},"schema":"https://github.com/citation-style-language/schema/raw/master/csl-citation.json"}</w:instrText>
      </w:r>
      <w:r>
        <w:rPr>
          <w:rFonts w:ascii="Times New Roman" w:hAnsi="Times New Roman"/>
          <w:sz w:val="20"/>
          <w:szCs w:val="20"/>
        </w:rPr>
        <w:fldChar w:fldCharType="separate"/>
      </w:r>
      <w:r w:rsidR="00F9527A" w:rsidRPr="00F9527A">
        <w:rPr>
          <w:rFonts w:ascii="Times New Roman" w:hAnsi="Times New Roman"/>
          <w:noProof/>
          <w:sz w:val="20"/>
          <w:szCs w:val="20"/>
          <w:vertAlign w:val="superscript"/>
        </w:rPr>
        <w:t>11</w:t>
      </w:r>
      <w:r>
        <w:rPr>
          <w:rFonts w:ascii="Times New Roman" w:hAnsi="Times New Roman"/>
          <w:sz w:val="20"/>
          <w:szCs w:val="20"/>
        </w:rPr>
        <w:fldChar w:fldCharType="end"/>
      </w:r>
      <w:r w:rsidRPr="00890568">
        <w:rPr>
          <w:rFonts w:ascii="Times New Roman" w:hAnsi="Times New Roman"/>
          <w:sz w:val="20"/>
          <w:szCs w:val="20"/>
        </w:rPr>
        <w:t>. Subsequently</w:t>
      </w:r>
      <w:r w:rsidR="00F9527A">
        <w:rPr>
          <w:rFonts w:ascii="Times New Roman" w:hAnsi="Times New Roman"/>
          <w:sz w:val="20"/>
          <w:szCs w:val="20"/>
        </w:rPr>
        <w:t>,</w:t>
      </w:r>
      <w:r w:rsidRPr="00890568">
        <w:rPr>
          <w:rFonts w:ascii="Times New Roman" w:hAnsi="Times New Roman"/>
          <w:sz w:val="20"/>
          <w:szCs w:val="20"/>
        </w:rPr>
        <w:t xml:space="preserve"> the mixture is dried and heated to form </w:t>
      </w:r>
      <w:r w:rsidR="00F9527A">
        <w:rPr>
          <w:rFonts w:ascii="Times New Roman" w:hAnsi="Times New Roman"/>
          <w:sz w:val="20"/>
          <w:szCs w:val="20"/>
        </w:rPr>
        <w:t xml:space="preserve">a </w:t>
      </w:r>
      <w:r w:rsidRPr="00890568">
        <w:rPr>
          <w:rFonts w:ascii="Times New Roman" w:hAnsi="Times New Roman"/>
          <w:sz w:val="20"/>
          <w:szCs w:val="20"/>
        </w:rPr>
        <w:t xml:space="preserve">solid ceramic. Oxides compound has a stable structure during the </w:t>
      </w:r>
      <w:r>
        <w:rPr>
          <w:rFonts w:ascii="Times New Roman" w:hAnsi="Times New Roman"/>
          <w:sz w:val="20"/>
          <w:szCs w:val="20"/>
        </w:rPr>
        <w:t xml:space="preserve">neutron </w:t>
      </w:r>
      <w:r w:rsidRPr="00890568">
        <w:rPr>
          <w:rFonts w:ascii="Times New Roman" w:hAnsi="Times New Roman"/>
          <w:sz w:val="20"/>
          <w:szCs w:val="20"/>
        </w:rPr>
        <w:t>irradiation process</w:t>
      </w:r>
      <w:r w:rsidR="00AB7F17">
        <w:rPr>
          <w:rFonts w:ascii="Times New Roman" w:hAnsi="Times New Roman"/>
          <w:sz w:val="20"/>
          <w:szCs w:val="20"/>
        </w:rPr>
        <w:t xml:space="preserve">, and </w:t>
      </w:r>
      <w:r w:rsidRPr="00890568">
        <w:rPr>
          <w:rFonts w:ascii="Times New Roman" w:hAnsi="Times New Roman"/>
          <w:sz w:val="20"/>
          <w:szCs w:val="20"/>
        </w:rPr>
        <w:t xml:space="preserve">then there is no change </w:t>
      </w:r>
      <w:r w:rsidR="00F9527A">
        <w:rPr>
          <w:rFonts w:ascii="Times New Roman" w:hAnsi="Times New Roman"/>
          <w:sz w:val="20"/>
          <w:szCs w:val="20"/>
        </w:rPr>
        <w:t xml:space="preserve">in </w:t>
      </w:r>
      <w:r w:rsidRPr="00890568">
        <w:rPr>
          <w:rFonts w:ascii="Times New Roman" w:hAnsi="Times New Roman"/>
          <w:sz w:val="20"/>
          <w:szCs w:val="20"/>
        </w:rPr>
        <w:t xml:space="preserve">the structure or chemical reaction on a target material </w:t>
      </w:r>
      <w:r>
        <w:rPr>
          <w:rFonts w:ascii="Times New Roman" w:hAnsi="Times New Roman"/>
          <w:sz w:val="20"/>
          <w:szCs w:val="20"/>
        </w:rPr>
        <w:fldChar w:fldCharType="begin" w:fldLock="1"/>
      </w:r>
      <w:r w:rsidR="00F9527A">
        <w:rPr>
          <w:rFonts w:ascii="Times New Roman" w:hAnsi="Times New Roman"/>
          <w:sz w:val="20"/>
          <w:szCs w:val="20"/>
        </w:rPr>
        <w:instrText>ADDIN CSL_CITATION {"citationItems":[{"id":"ITEM-1","itemData":{"DOI":"10.1038/nmat1842","ISSN":"14764660","PMID":"17322869","abstract":"Ceramics destined for use in hostile environments such as nuclear reactors or waste immobilization must be highly durable and especially resistant to radiation damage effects. In particular, they must not be prone to amorphization or swelling. Few ceramics meet these criteria and much work has been devoted in recent years to identifying radiation-tolerant ceramics and the characteristics that promote radiation tolerance. Here, we examine trends in radiation damage behaviour for families of compounds related by crystal structure. Specifically, we consider oxides with structures related to the fluorite crystal structure. We demonstrate that improved amorphization resistance characteristics are to be found in compounds that have a natural tendency to accommodate lattice disorder. ©2007 Nature Publishing Group.","author":[{"dropping-particle":"","family":"Sickafus","given":"Kurt E.","non-dropping-particle":"","parse-names":false,"suffix":""},{"dropping-particle":"","family":"Grimes","given":"Robin W.","non-dropping-particle":"","parse-names":false,"suffix":""},{"dropping-particle":"","family":"Valdez","given":"James A.","non-dropping-particle":"","parse-names":false,"suffix":""},{"dropping-particle":"","family":"Cleave","given":"Antony","non-dropping-particle":"","parse-names":false,"suffix":""},{"dropping-particle":"","family":"Tang","given":"Ming","non-dropping-particle":"","parse-names":false,"suffix":""},{"dropping-particle":"","family":"Ishimaru","given":"Manabu","non-dropping-particle":"","parse-names":false,"suffix":""},{"dropping-particle":"","family":"Corish","given":"Siobhan M.","non-dropping-particle":"","parse-names":false,"suffix":""},{"dropping-particle":"","family":"Stanek","given":"Christopher R.","non-dropping-particle":"","parse-names":false,"suffix":""},{"dropping-particle":"","family":"Uberuaga","given":"Blas P.","non-dropping-particle":"","parse-names":false,"suffix":""}],"container-title":"Nature Materials","id":"ITEM-1","issue":"3","issued":{"date-parts":[["2007"]]},"page":"217-223","title":"Radiation-induced amorphization resistance and radiation tolerance in structurally related oxides","type":"article-journal","volume":"6"},"uris":["http://www.mendeley.com/documents/?uuid=73f8e4f7-a014-4a36-bebe-f100514f84f7"]}],"mendeley":{"formattedCitation":"&lt;sup&gt;17&lt;/sup&gt;","plainTextFormattedCitation":"17","previouslyFormattedCitation":"&lt;sup&gt;17&lt;/sup&gt;"},"properties":{"noteIndex":0},"schema":"https://github.com/citation-style-language/schema/raw/master/csl-citation.json"}</w:instrText>
      </w:r>
      <w:r>
        <w:rPr>
          <w:rFonts w:ascii="Times New Roman" w:hAnsi="Times New Roman"/>
          <w:sz w:val="20"/>
          <w:szCs w:val="20"/>
        </w:rPr>
        <w:fldChar w:fldCharType="separate"/>
      </w:r>
      <w:r w:rsidR="00F9527A" w:rsidRPr="00F9527A">
        <w:rPr>
          <w:rFonts w:ascii="Times New Roman" w:hAnsi="Times New Roman"/>
          <w:noProof/>
          <w:sz w:val="20"/>
          <w:szCs w:val="20"/>
          <w:vertAlign w:val="superscript"/>
        </w:rPr>
        <w:t>17</w:t>
      </w:r>
      <w:r>
        <w:rPr>
          <w:rFonts w:ascii="Times New Roman" w:hAnsi="Times New Roman"/>
          <w:sz w:val="20"/>
          <w:szCs w:val="20"/>
        </w:rPr>
        <w:fldChar w:fldCharType="end"/>
      </w:r>
      <w:r>
        <w:rPr>
          <w:rFonts w:ascii="Times New Roman" w:hAnsi="Times New Roman"/>
          <w:sz w:val="20"/>
          <w:szCs w:val="20"/>
        </w:rPr>
        <w:t>.</w:t>
      </w:r>
    </w:p>
    <w:p w14:paraId="56AB5518" w14:textId="77777777" w:rsidR="00BE551C" w:rsidRDefault="00BE551C" w:rsidP="00897463">
      <w:pPr>
        <w:spacing w:after="0"/>
        <w:ind w:firstLine="284"/>
        <w:jc w:val="both"/>
        <w:rPr>
          <w:rFonts w:ascii="Times New Roman" w:hAnsi="Times New Roman"/>
          <w:sz w:val="20"/>
          <w:szCs w:val="20"/>
        </w:rPr>
      </w:pPr>
    </w:p>
    <w:p w14:paraId="2B91BDE0" w14:textId="77777777" w:rsidR="00897463" w:rsidRPr="00D03E74" w:rsidRDefault="00897463" w:rsidP="00897463">
      <w:pPr>
        <w:spacing w:after="0"/>
        <w:ind w:firstLine="284"/>
        <w:jc w:val="both"/>
        <w:rPr>
          <w:rFonts w:ascii="Times New Roman" w:hAnsi="Times New Roman"/>
          <w:sz w:val="20"/>
          <w:szCs w:val="20"/>
        </w:rPr>
      </w:pPr>
    </w:p>
    <w:p w14:paraId="2E104B8E" w14:textId="77BA18FD" w:rsidR="00EF4212" w:rsidRPr="00D37517" w:rsidRDefault="00EF4212" w:rsidP="00897463">
      <w:pPr>
        <w:pStyle w:val="Heading1"/>
        <w:spacing w:before="0"/>
        <w:rPr>
          <w:sz w:val="24"/>
          <w:szCs w:val="24"/>
        </w:rPr>
      </w:pPr>
      <w:r w:rsidRPr="00D37517">
        <w:rPr>
          <w:sz w:val="24"/>
          <w:szCs w:val="24"/>
        </w:rPr>
        <w:t>MATERIALS AND METHODS</w:t>
      </w:r>
      <w:r w:rsidR="00BE551C">
        <w:rPr>
          <w:sz w:val="24"/>
          <w:szCs w:val="24"/>
        </w:rPr>
        <w:t xml:space="preserve"> </w:t>
      </w:r>
      <w:r w:rsidR="00BE551C" w:rsidRPr="00BE551C">
        <w:rPr>
          <w:sz w:val="24"/>
          <w:szCs w:val="24"/>
        </w:rPr>
        <w:t>(FIRST LEVEL HEADING)</w:t>
      </w:r>
    </w:p>
    <w:p w14:paraId="55E6450D" w14:textId="77777777" w:rsidR="00BE551C" w:rsidRDefault="00BE551C" w:rsidP="00BE551C">
      <w:pPr>
        <w:keepNext/>
        <w:spacing w:before="240" w:after="240" w:line="240" w:lineRule="auto"/>
        <w:jc w:val="center"/>
        <w:outlineLvl w:val="0"/>
        <w:rPr>
          <w:rFonts w:ascii="Times New Roman" w:hAnsi="Times New Roman"/>
          <w:sz w:val="20"/>
          <w:szCs w:val="20"/>
          <w:lang w:val="en-US" w:eastAsia="en-US"/>
        </w:rPr>
      </w:pPr>
      <w:r w:rsidRPr="00BE551C">
        <w:rPr>
          <w:rFonts w:ascii="Times New Roman" w:hAnsi="Times New Roman"/>
          <w:sz w:val="20"/>
          <w:szCs w:val="20"/>
          <w:lang w:val="en-US" w:eastAsia="en-US"/>
        </w:rPr>
        <w:t xml:space="preserve">(Use the Microsoft Word template style: </w:t>
      </w:r>
      <w:r w:rsidRPr="00BE551C">
        <w:rPr>
          <w:rFonts w:ascii="Times New Roman" w:hAnsi="Times New Roman"/>
          <w:i/>
          <w:iCs/>
          <w:sz w:val="20"/>
          <w:szCs w:val="20"/>
          <w:lang w:val="en-US" w:eastAsia="en-US"/>
        </w:rPr>
        <w:t>Heading 1</w:t>
      </w:r>
      <w:r w:rsidRPr="00BE551C">
        <w:rPr>
          <w:rFonts w:ascii="Times New Roman" w:hAnsi="Times New Roman"/>
          <w:sz w:val="20"/>
          <w:szCs w:val="20"/>
          <w:lang w:val="en-US" w:eastAsia="en-US"/>
        </w:rPr>
        <w:t>) or (Use Times New Roman Font: 12 pt, Bold, ALL CAPS, Centered)</w:t>
      </w:r>
    </w:p>
    <w:p w14:paraId="099C90CB" w14:textId="3C8DECFF" w:rsidR="00D97F34" w:rsidRPr="00D97F34" w:rsidRDefault="00D97F34" w:rsidP="00D97F34">
      <w:pPr>
        <w:pStyle w:val="Paragraph"/>
      </w:pPr>
      <w:r w:rsidRPr="00D97F34">
        <w:t>This document was prepared using the AIP Conference Proceedings template for Microsoft Word. It provides a simple example of a paper and offers guidelines for preparing your article. Here we introduce the paragraph styles for Level 1, Level 2, and Level 3 headings. Please note the following:</w:t>
      </w:r>
    </w:p>
    <w:p w14:paraId="71773C4F" w14:textId="77777777" w:rsidR="00D97F34" w:rsidRPr="00D97F34" w:rsidRDefault="00D97F34" w:rsidP="00D97F34">
      <w:pPr>
        <w:pStyle w:val="ListParagraph"/>
        <w:numPr>
          <w:ilvl w:val="0"/>
          <w:numId w:val="7"/>
        </w:numPr>
        <w:spacing w:after="0" w:line="240" w:lineRule="auto"/>
        <w:jc w:val="both"/>
        <w:rPr>
          <w:rFonts w:ascii="Times New Roman" w:hAnsi="Times New Roman"/>
          <w:sz w:val="20"/>
          <w:szCs w:val="20"/>
          <w:lang w:val="en-US" w:eastAsia="en-US"/>
        </w:rPr>
      </w:pPr>
      <w:r w:rsidRPr="00D97F34">
        <w:rPr>
          <w:rFonts w:ascii="Times New Roman" w:hAnsi="Times New Roman"/>
          <w:sz w:val="20"/>
          <w:szCs w:val="20"/>
          <w:lang w:val="en-US" w:eastAsia="en-US"/>
        </w:rPr>
        <w:t>In this template we note whether each heading is Level 1, 2, or 3 – for example, “(Second Level Heading).” This is for guidance only; your article headings will, of course, not need those notations.</w:t>
      </w:r>
    </w:p>
    <w:p w14:paraId="06519891" w14:textId="77777777" w:rsidR="00D97F34" w:rsidRPr="00D97F34" w:rsidRDefault="00D97F34" w:rsidP="00D97F34">
      <w:pPr>
        <w:pStyle w:val="ListParagraph"/>
        <w:numPr>
          <w:ilvl w:val="0"/>
          <w:numId w:val="7"/>
        </w:numPr>
        <w:spacing w:after="0" w:line="240" w:lineRule="auto"/>
        <w:jc w:val="both"/>
        <w:rPr>
          <w:rFonts w:ascii="Times New Roman" w:hAnsi="Times New Roman"/>
          <w:sz w:val="20"/>
          <w:szCs w:val="20"/>
          <w:lang w:val="en-US" w:eastAsia="en-US"/>
        </w:rPr>
      </w:pPr>
      <w:r w:rsidRPr="00D97F34">
        <w:rPr>
          <w:rFonts w:ascii="Times New Roman" w:hAnsi="Times New Roman"/>
          <w:sz w:val="20"/>
          <w:szCs w:val="20"/>
          <w:lang w:val="en-US" w:eastAsia="en-US"/>
        </w:rPr>
        <w:t>Under each heading we have noted which paragraph style to use – for example, “(Use the Microsoft Word template style: Heading 2).” Again, those notes are not part of the headings. Their purpose is to advise you of the name of the style defined in the AIP Conference Proceedings Word template.</w:t>
      </w:r>
    </w:p>
    <w:p w14:paraId="03569B84" w14:textId="77777777" w:rsidR="00D97F34" w:rsidRPr="00D97F34" w:rsidRDefault="00D97F34" w:rsidP="00D97F34">
      <w:pPr>
        <w:spacing w:after="0" w:line="240" w:lineRule="auto"/>
        <w:ind w:left="1004"/>
        <w:jc w:val="both"/>
        <w:rPr>
          <w:rFonts w:ascii="Times New Roman" w:hAnsi="Times New Roman"/>
          <w:sz w:val="20"/>
          <w:szCs w:val="20"/>
          <w:lang w:val="en-US" w:eastAsia="en-US"/>
        </w:rPr>
      </w:pPr>
    </w:p>
    <w:p w14:paraId="700E48CE" w14:textId="77777777" w:rsidR="00D97F34" w:rsidRPr="00D97F34" w:rsidRDefault="00D97F34" w:rsidP="00D97F34">
      <w:pPr>
        <w:spacing w:after="0" w:line="240" w:lineRule="auto"/>
        <w:ind w:firstLine="284"/>
        <w:jc w:val="both"/>
        <w:rPr>
          <w:rFonts w:ascii="Times New Roman" w:hAnsi="Times New Roman"/>
          <w:sz w:val="20"/>
          <w:szCs w:val="20"/>
          <w:lang w:val="en-US" w:eastAsia="en-US"/>
        </w:rPr>
      </w:pPr>
      <w:r w:rsidRPr="00D97F34">
        <w:rPr>
          <w:rFonts w:ascii="Times New Roman" w:hAnsi="Times New Roman"/>
          <w:sz w:val="20"/>
          <w:szCs w:val="20"/>
          <w:lang w:val="en-US" w:eastAsia="en-US"/>
        </w:rPr>
        <w:t xml:space="preserve">To format a paragraph, use the Microsoft Word template style: </w:t>
      </w:r>
      <w:r w:rsidRPr="00D97F34">
        <w:rPr>
          <w:rFonts w:ascii="Times New Roman" w:hAnsi="Times New Roman"/>
          <w:i/>
          <w:iCs/>
          <w:sz w:val="20"/>
          <w:szCs w:val="20"/>
          <w:lang w:val="en-US" w:eastAsia="en-US"/>
        </w:rPr>
        <w:t>Paragraph</w:t>
      </w:r>
      <w:r w:rsidRPr="00D97F34">
        <w:rPr>
          <w:rFonts w:ascii="Times New Roman" w:hAnsi="Times New Roman"/>
          <w:sz w:val="20"/>
          <w:szCs w:val="20"/>
          <w:lang w:val="en-US" w:eastAsia="en-US"/>
        </w:rPr>
        <w:t xml:space="preserve"> or Times New Roman Font: 10 pt, Indent: First line: 0.2", Justified. </w:t>
      </w:r>
    </w:p>
    <w:p w14:paraId="6696252D" w14:textId="5FB5A6B5" w:rsidR="00692E5F" w:rsidRDefault="00692E5F" w:rsidP="00692E5F">
      <w:pPr>
        <w:pStyle w:val="Paragraph"/>
      </w:pPr>
    </w:p>
    <w:p w14:paraId="4A5AB6D5" w14:textId="637395CF" w:rsidR="00BE551C" w:rsidRDefault="00BE551C" w:rsidP="00BE551C">
      <w:pPr>
        <w:pStyle w:val="Heading2"/>
        <w:spacing w:before="0"/>
      </w:pPr>
      <w:r>
        <w:t xml:space="preserve">Materials </w:t>
      </w:r>
      <w:r w:rsidRPr="00075EA6">
        <w:t>(Second Level Heading)</w:t>
      </w:r>
    </w:p>
    <w:p w14:paraId="7D843B42" w14:textId="5D118DE3" w:rsidR="00BE551C" w:rsidRDefault="00BE551C" w:rsidP="00BE551C">
      <w:pPr>
        <w:rPr>
          <w:rFonts w:ascii="Times New Roman" w:hAnsi="Times New Roman"/>
          <w:caps/>
          <w:sz w:val="20"/>
          <w:szCs w:val="20"/>
          <w:lang w:val="en-US" w:eastAsia="en-US"/>
        </w:rPr>
      </w:pPr>
      <w:r w:rsidRPr="00BE551C">
        <w:rPr>
          <w:rFonts w:ascii="Times New Roman" w:hAnsi="Times New Roman"/>
          <w:sz w:val="20"/>
          <w:szCs w:val="20"/>
          <w:lang w:val="en-US" w:eastAsia="en-US"/>
        </w:rPr>
        <w:t xml:space="preserve">(Use the Microsoft Word template style: </w:t>
      </w:r>
      <w:r w:rsidRPr="00BE551C">
        <w:rPr>
          <w:rFonts w:ascii="Times New Roman" w:hAnsi="Times New Roman"/>
          <w:i/>
          <w:iCs/>
          <w:sz w:val="20"/>
          <w:szCs w:val="20"/>
          <w:lang w:val="en-US" w:eastAsia="en-US"/>
        </w:rPr>
        <w:t>Heading 2</w:t>
      </w:r>
      <w:r w:rsidRPr="00BE551C">
        <w:rPr>
          <w:rFonts w:ascii="Times New Roman" w:hAnsi="Times New Roman"/>
          <w:sz w:val="20"/>
          <w:szCs w:val="20"/>
          <w:lang w:val="en-US" w:eastAsia="en-US"/>
        </w:rPr>
        <w:t xml:space="preserve">) or </w:t>
      </w:r>
      <w:r w:rsidRPr="00BE551C">
        <w:rPr>
          <w:rFonts w:ascii="Times New Roman" w:hAnsi="Times New Roman"/>
          <w:caps/>
          <w:sz w:val="20"/>
          <w:szCs w:val="20"/>
          <w:lang w:val="en-US" w:eastAsia="en-US"/>
        </w:rPr>
        <w:t>(</w:t>
      </w:r>
      <w:r w:rsidRPr="00BE551C">
        <w:rPr>
          <w:rFonts w:ascii="Times New Roman" w:hAnsi="Times New Roman"/>
          <w:sz w:val="20"/>
          <w:szCs w:val="20"/>
          <w:lang w:val="en-US" w:eastAsia="en-US"/>
        </w:rPr>
        <w:t xml:space="preserve">Use Times New Roman Font: </w:t>
      </w:r>
      <w:r w:rsidRPr="00BE551C">
        <w:rPr>
          <w:rFonts w:ascii="Times New Roman" w:hAnsi="Times New Roman"/>
          <w:caps/>
          <w:sz w:val="20"/>
          <w:szCs w:val="20"/>
          <w:lang w:val="en-US" w:eastAsia="en-US"/>
        </w:rPr>
        <w:t xml:space="preserve">12 pt, </w:t>
      </w:r>
      <w:r w:rsidRPr="00BE551C">
        <w:rPr>
          <w:rFonts w:ascii="Times New Roman" w:hAnsi="Times New Roman"/>
          <w:sz w:val="20"/>
          <w:szCs w:val="20"/>
          <w:lang w:val="en-US" w:eastAsia="en-US"/>
        </w:rPr>
        <w:t>Bold, Centered</w:t>
      </w:r>
      <w:r w:rsidRPr="00BE551C">
        <w:rPr>
          <w:rFonts w:ascii="Times New Roman" w:hAnsi="Times New Roman"/>
          <w:caps/>
          <w:sz w:val="20"/>
          <w:szCs w:val="20"/>
          <w:lang w:val="en-US" w:eastAsia="en-US"/>
        </w:rPr>
        <w:t>)</w:t>
      </w:r>
    </w:p>
    <w:p w14:paraId="395ED0CE" w14:textId="5DD5056F" w:rsidR="00D97F34" w:rsidRPr="00692E5F" w:rsidRDefault="00D97F34" w:rsidP="00D97F34">
      <w:pPr>
        <w:keepNext/>
        <w:spacing w:before="240" w:after="240" w:line="240" w:lineRule="auto"/>
        <w:jc w:val="center"/>
        <w:outlineLvl w:val="2"/>
        <w:rPr>
          <w:rFonts w:ascii="Times New Roman" w:hAnsi="Times New Roman"/>
          <w:i/>
          <w:iCs/>
          <w:sz w:val="20"/>
          <w:szCs w:val="20"/>
          <w:lang w:val="en-GB" w:eastAsia="en-GB"/>
        </w:rPr>
      </w:pPr>
      <w:r>
        <w:rPr>
          <w:rFonts w:ascii="Times New Roman" w:hAnsi="Times New Roman"/>
          <w:i/>
          <w:iCs/>
          <w:sz w:val="20"/>
          <w:szCs w:val="20"/>
          <w:lang w:val="en-GB" w:eastAsia="en-GB"/>
        </w:rPr>
        <w:t xml:space="preserve">Example </w:t>
      </w:r>
      <w:r>
        <w:rPr>
          <w:rFonts w:ascii="Times New Roman" w:hAnsi="Times New Roman"/>
          <w:i/>
          <w:iCs/>
          <w:sz w:val="20"/>
          <w:szCs w:val="20"/>
          <w:lang w:val="en-GB" w:eastAsia="en-GB"/>
        </w:rPr>
        <w:t>Material</w:t>
      </w:r>
      <w:r>
        <w:rPr>
          <w:rFonts w:ascii="Times New Roman" w:hAnsi="Times New Roman"/>
          <w:i/>
          <w:iCs/>
          <w:sz w:val="20"/>
          <w:szCs w:val="20"/>
          <w:lang w:val="en-GB" w:eastAsia="en-GB"/>
        </w:rPr>
        <w:t xml:space="preserve"> </w:t>
      </w:r>
      <w:proofErr w:type="spellStart"/>
      <w:r>
        <w:rPr>
          <w:rFonts w:ascii="Times New Roman" w:hAnsi="Times New Roman"/>
          <w:i/>
          <w:iCs/>
          <w:sz w:val="20"/>
          <w:szCs w:val="20"/>
          <w:lang w:val="en-GB" w:eastAsia="en-GB"/>
        </w:rPr>
        <w:t>xxxx</w:t>
      </w:r>
      <w:proofErr w:type="spellEnd"/>
      <w:r w:rsidRPr="00692E5F">
        <w:rPr>
          <w:rFonts w:ascii="Times New Roman" w:hAnsi="Times New Roman"/>
          <w:i/>
          <w:iCs/>
          <w:sz w:val="20"/>
          <w:szCs w:val="20"/>
          <w:lang w:val="en-GB" w:eastAsia="en-GB"/>
        </w:rPr>
        <w:t xml:space="preserve"> (Third Level Heading)</w:t>
      </w:r>
      <w:r w:rsidRPr="00692E5F">
        <w:rPr>
          <w:rFonts w:ascii="Times New Roman" w:hAnsi="Times New Roman"/>
          <w:i/>
          <w:iCs/>
          <w:sz w:val="20"/>
          <w:szCs w:val="20"/>
          <w:lang w:val="en-GB" w:eastAsia="en-GB"/>
        </w:rPr>
        <w:br/>
        <w:t>(Use the Microsoft Word template style: Heading 3</w:t>
      </w:r>
      <w:r w:rsidRPr="00692E5F">
        <w:rPr>
          <w:rFonts w:ascii="Times New Roman" w:hAnsi="Times New Roman"/>
          <w:bCs/>
          <w:i/>
          <w:iCs/>
          <w:sz w:val="20"/>
          <w:szCs w:val="20"/>
          <w:lang w:val="en-GB" w:eastAsia="en-GB"/>
        </w:rPr>
        <w:t xml:space="preserve">) or </w:t>
      </w:r>
      <w:r w:rsidRPr="00692E5F">
        <w:rPr>
          <w:rFonts w:ascii="Times New Roman" w:hAnsi="Times New Roman"/>
          <w:i/>
          <w:iCs/>
          <w:sz w:val="20"/>
          <w:szCs w:val="20"/>
          <w:lang w:val="en-GB" w:eastAsia="en-GB"/>
        </w:rPr>
        <w:t xml:space="preserve">(Use Times New Roman Font: 10 pt, Italic, </w:t>
      </w:r>
      <w:proofErr w:type="spellStart"/>
      <w:r w:rsidRPr="00692E5F">
        <w:rPr>
          <w:rFonts w:ascii="Times New Roman" w:hAnsi="Times New Roman"/>
          <w:i/>
          <w:iCs/>
          <w:sz w:val="20"/>
          <w:szCs w:val="20"/>
          <w:lang w:val="en-GB" w:eastAsia="en-GB"/>
        </w:rPr>
        <w:t>Centered</w:t>
      </w:r>
      <w:proofErr w:type="spellEnd"/>
      <w:r w:rsidRPr="00692E5F">
        <w:rPr>
          <w:rFonts w:ascii="Times New Roman" w:hAnsi="Times New Roman"/>
          <w:i/>
          <w:iCs/>
          <w:sz w:val="20"/>
          <w:szCs w:val="20"/>
          <w:lang w:val="en-GB" w:eastAsia="en-GB"/>
        </w:rPr>
        <w:t>)</w:t>
      </w:r>
    </w:p>
    <w:p w14:paraId="0CCBD685" w14:textId="77777777" w:rsidR="00BE551C" w:rsidRDefault="00BE551C" w:rsidP="00BE551C">
      <w:pPr>
        <w:spacing w:after="0" w:line="240" w:lineRule="auto"/>
        <w:ind w:firstLine="284"/>
        <w:jc w:val="both"/>
        <w:rPr>
          <w:rFonts w:ascii="Times New Roman" w:hAnsi="Times New Roman"/>
          <w:sz w:val="20"/>
          <w:szCs w:val="20"/>
          <w:lang w:val="en-GB" w:eastAsia="en-GB"/>
        </w:rPr>
      </w:pPr>
      <w:r w:rsidRPr="00BE551C">
        <w:rPr>
          <w:rFonts w:ascii="Times New Roman" w:hAnsi="Times New Roman"/>
          <w:sz w:val="20"/>
          <w:szCs w:val="20"/>
          <w:lang w:val="en-GB" w:eastAsia="en-GB"/>
        </w:rPr>
        <w:t xml:space="preserve">Figures, </w:t>
      </w:r>
      <w:r w:rsidRPr="00BE551C">
        <w:rPr>
          <w:rFonts w:ascii="Times New Roman" w:hAnsi="Times New Roman"/>
          <w:sz w:val="20"/>
          <w:szCs w:val="20"/>
          <w:lang w:val="en-US" w:eastAsia="en-US"/>
        </w:rPr>
        <w:t>tables</w:t>
      </w:r>
      <w:r w:rsidRPr="00BE551C">
        <w:rPr>
          <w:rFonts w:ascii="Times New Roman" w:hAnsi="Times New Roman"/>
          <w:sz w:val="20"/>
          <w:szCs w:val="20"/>
          <w:lang w:val="en-GB" w:eastAsia="en-GB"/>
        </w:rPr>
        <w:t xml:space="preserve">, and equations must be inserted in the text and may not be grouped at the end of the paper. Important: A miscount of figures, tables, or equations may result in revisions. Please double check the numbering of these elements before you submit your paper to your </w:t>
      </w:r>
      <w:proofErr w:type="gramStart"/>
      <w:r w:rsidRPr="00BE551C">
        <w:rPr>
          <w:rFonts w:ascii="Times New Roman" w:hAnsi="Times New Roman"/>
          <w:sz w:val="20"/>
          <w:szCs w:val="20"/>
          <w:lang w:val="en-GB" w:eastAsia="en-GB"/>
        </w:rPr>
        <w:t>proceedings</w:t>
      </w:r>
      <w:proofErr w:type="gramEnd"/>
      <w:r w:rsidRPr="00BE551C">
        <w:rPr>
          <w:rFonts w:ascii="Times New Roman" w:hAnsi="Times New Roman"/>
          <w:sz w:val="20"/>
          <w:szCs w:val="20"/>
          <w:lang w:val="en-GB" w:eastAsia="en-GB"/>
        </w:rPr>
        <w:t xml:space="preserve"> editor.</w:t>
      </w:r>
      <w:r>
        <w:rPr>
          <w:rFonts w:ascii="Times New Roman" w:hAnsi="Times New Roman"/>
          <w:sz w:val="20"/>
          <w:szCs w:val="20"/>
          <w:lang w:val="en-GB" w:eastAsia="en-GB"/>
        </w:rPr>
        <w:t xml:space="preserve"> </w:t>
      </w:r>
    </w:p>
    <w:p w14:paraId="56B0DB73" w14:textId="02F157DB" w:rsidR="00BE551C" w:rsidRPr="00BE551C" w:rsidRDefault="00BE551C" w:rsidP="00BE551C">
      <w:pPr>
        <w:spacing w:after="0" w:line="240" w:lineRule="auto"/>
        <w:ind w:firstLine="284"/>
        <w:jc w:val="both"/>
        <w:rPr>
          <w:rFonts w:ascii="Times New Roman" w:hAnsi="Times New Roman"/>
          <w:sz w:val="20"/>
          <w:szCs w:val="20"/>
          <w:lang w:val="en-GB" w:eastAsia="en-GB"/>
        </w:rPr>
      </w:pPr>
      <w:r w:rsidRPr="00BE551C">
        <w:rPr>
          <w:rFonts w:ascii="Times New Roman" w:hAnsi="Times New Roman"/>
          <w:sz w:val="20"/>
          <w:szCs w:val="20"/>
          <w:lang w:val="en-GB" w:eastAsia="en-GB"/>
        </w:rPr>
        <w:lastRenderedPageBreak/>
        <w:t>If you need to arrange many figures, a good tip is to place them in a table, which gives you additional control of the layout. Leave a line space between your figure and any text above it, and the figure description and any text below it, like this one:</w:t>
      </w:r>
    </w:p>
    <w:p w14:paraId="59DFBD31" w14:textId="77777777" w:rsidR="00BE551C" w:rsidRPr="00BE551C" w:rsidRDefault="00BE551C" w:rsidP="00BE551C">
      <w:pPr>
        <w:spacing w:after="0" w:line="240" w:lineRule="auto"/>
        <w:ind w:firstLine="284"/>
        <w:jc w:val="both"/>
        <w:rPr>
          <w:rFonts w:ascii="Times New Roman" w:hAnsi="Times New Roman"/>
          <w:sz w:val="20"/>
          <w:szCs w:val="20"/>
          <w:lang w:val="en-GB"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62"/>
      </w:tblGrid>
      <w:tr w:rsidR="009C1F9D" w14:paraId="1C296799" w14:textId="77777777" w:rsidTr="009C1F9D">
        <w:trPr>
          <w:trHeight w:val="2055"/>
        </w:trPr>
        <w:tc>
          <w:tcPr>
            <w:tcW w:w="4788" w:type="dxa"/>
          </w:tcPr>
          <w:p w14:paraId="6D311AD9" w14:textId="77777777" w:rsidR="00BE551C" w:rsidRDefault="00BE551C" w:rsidP="007D029D">
            <w:pPr>
              <w:pStyle w:val="Paragraph"/>
              <w:ind w:firstLine="0"/>
              <w:jc w:val="center"/>
            </w:pPr>
            <w:r>
              <w:rPr>
                <w:b/>
                <w:noProof/>
                <w:lang w:val="en-GB" w:eastAsia="en-GB"/>
              </w:rPr>
              <w:drawing>
                <wp:inline distT="0" distB="0" distL="0" distR="0" wp14:anchorId="5AB20208" wp14:editId="7EB9A4FF">
                  <wp:extent cx="1911927" cy="123753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25971" cy="1246628"/>
                          </a:xfrm>
                          <a:prstGeom prst="rect">
                            <a:avLst/>
                          </a:prstGeom>
                          <a:noFill/>
                          <a:ln>
                            <a:noFill/>
                          </a:ln>
                        </pic:spPr>
                      </pic:pic>
                    </a:graphicData>
                  </a:graphic>
                </wp:inline>
              </w:drawing>
            </w:r>
          </w:p>
        </w:tc>
        <w:tc>
          <w:tcPr>
            <w:tcW w:w="4788" w:type="dxa"/>
          </w:tcPr>
          <w:p w14:paraId="0FDFEA3A" w14:textId="77777777" w:rsidR="00BE551C" w:rsidRDefault="00BE551C" w:rsidP="007D029D">
            <w:pPr>
              <w:pStyle w:val="Paragraph"/>
              <w:ind w:firstLine="0"/>
              <w:jc w:val="center"/>
            </w:pPr>
            <w:r>
              <w:rPr>
                <w:noProof/>
              </w:rPr>
              <w:drawing>
                <wp:inline distT="0" distB="0" distL="0" distR="0" wp14:anchorId="24605E07" wp14:editId="32FBBF87">
                  <wp:extent cx="1508166" cy="1123324"/>
                  <wp:effectExtent l="0" t="0" r="0" b="635"/>
                  <wp:docPr id="1534242590" name="Picture 153424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7">
                            <a:extLst>
                              <a:ext uri="{28A0092B-C50C-407E-A947-70E740481C1C}">
                                <a14:useLocalDpi xmlns:a14="http://schemas.microsoft.com/office/drawing/2010/main" val="0"/>
                              </a:ext>
                            </a:extLst>
                          </a:blip>
                          <a:stretch>
                            <a:fillRect/>
                          </a:stretch>
                        </pic:blipFill>
                        <pic:spPr>
                          <a:xfrm>
                            <a:off x="0" y="0"/>
                            <a:ext cx="1516583" cy="1129593"/>
                          </a:xfrm>
                          <a:prstGeom prst="rect">
                            <a:avLst/>
                          </a:prstGeom>
                        </pic:spPr>
                      </pic:pic>
                    </a:graphicData>
                  </a:graphic>
                </wp:inline>
              </w:drawing>
            </w:r>
          </w:p>
        </w:tc>
      </w:tr>
      <w:tr w:rsidR="009C1F9D" w14:paraId="7EA9FF3F" w14:textId="77777777" w:rsidTr="007D029D">
        <w:trPr>
          <w:trHeight w:val="291"/>
        </w:trPr>
        <w:tc>
          <w:tcPr>
            <w:tcW w:w="4788" w:type="dxa"/>
          </w:tcPr>
          <w:p w14:paraId="7B7818B8" w14:textId="77777777" w:rsidR="00BE551C" w:rsidRDefault="00BE551C" w:rsidP="007D029D">
            <w:pPr>
              <w:pStyle w:val="Paragraph"/>
              <w:ind w:firstLine="0"/>
              <w:jc w:val="center"/>
            </w:pPr>
            <w:r>
              <w:t>(a)</w:t>
            </w:r>
          </w:p>
        </w:tc>
        <w:tc>
          <w:tcPr>
            <w:tcW w:w="4788" w:type="dxa"/>
          </w:tcPr>
          <w:p w14:paraId="49593744" w14:textId="77777777" w:rsidR="00BE551C" w:rsidRDefault="00BE551C" w:rsidP="007D029D">
            <w:pPr>
              <w:pStyle w:val="Paragraph"/>
              <w:ind w:firstLine="0"/>
              <w:jc w:val="center"/>
            </w:pPr>
            <w:r>
              <w:t>(b)</w:t>
            </w:r>
          </w:p>
        </w:tc>
      </w:tr>
    </w:tbl>
    <w:p w14:paraId="2027A545" w14:textId="77777777" w:rsidR="00BE551C" w:rsidRDefault="00BE551C" w:rsidP="00BE551C">
      <w:pPr>
        <w:spacing w:after="0" w:line="240" w:lineRule="auto"/>
        <w:ind w:firstLine="284"/>
        <w:jc w:val="both"/>
        <w:rPr>
          <w:rFonts w:ascii="Times New Roman" w:hAnsi="Times New Roman"/>
          <w:sz w:val="18"/>
          <w:szCs w:val="18"/>
          <w:lang w:val="en-GB" w:eastAsia="en-GB"/>
        </w:rPr>
      </w:pPr>
      <w:r w:rsidRPr="00692E5F">
        <w:rPr>
          <w:rFonts w:ascii="Times New Roman" w:hAnsi="Times New Roman"/>
          <w:b/>
          <w:bCs/>
          <w:sz w:val="18"/>
          <w:szCs w:val="18"/>
          <w:lang w:val="en-GB" w:eastAsia="en-GB"/>
        </w:rPr>
        <w:t>FIGURE 1.</w:t>
      </w:r>
      <w:r w:rsidRPr="00692E5F">
        <w:rPr>
          <w:rFonts w:ascii="Times New Roman" w:hAnsi="Times New Roman"/>
          <w:sz w:val="18"/>
          <w:szCs w:val="18"/>
          <w:lang w:val="en-GB" w:eastAsia="en-GB"/>
        </w:rPr>
        <w:t xml:space="preserve"> To format a figure caption, use the Microsoft Word template style: Figure Caption or Times New Roman Font: 9 pt, </w:t>
      </w:r>
      <w:proofErr w:type="spellStart"/>
      <w:r w:rsidRPr="00692E5F">
        <w:rPr>
          <w:rFonts w:ascii="Times New Roman" w:hAnsi="Times New Roman"/>
          <w:sz w:val="18"/>
          <w:szCs w:val="18"/>
          <w:lang w:val="en-GB" w:eastAsia="en-GB"/>
        </w:rPr>
        <w:t>Centered</w:t>
      </w:r>
      <w:proofErr w:type="spellEnd"/>
      <w:r w:rsidRPr="00692E5F">
        <w:rPr>
          <w:rFonts w:ascii="Times New Roman" w:hAnsi="Times New Roman"/>
          <w:sz w:val="18"/>
          <w:szCs w:val="18"/>
          <w:lang w:val="en-GB" w:eastAsia="en-GB"/>
        </w:rPr>
        <w:t>. The text “</w:t>
      </w:r>
      <w:r w:rsidRPr="00692E5F">
        <w:rPr>
          <w:rFonts w:ascii="Times New Roman" w:hAnsi="Times New Roman"/>
          <w:b/>
          <w:bCs/>
          <w:sz w:val="18"/>
          <w:szCs w:val="18"/>
          <w:lang w:val="en-GB" w:eastAsia="en-GB"/>
        </w:rPr>
        <w:t>FIGURE 1</w:t>
      </w:r>
      <w:r w:rsidRPr="00692E5F">
        <w:rPr>
          <w:rFonts w:ascii="Times New Roman" w:hAnsi="Times New Roman"/>
          <w:sz w:val="18"/>
          <w:szCs w:val="18"/>
          <w:lang w:val="en-GB" w:eastAsia="en-GB"/>
        </w:rPr>
        <w:t xml:space="preserve">,” which labels the caption, should be bold and in upper case. If figures have more than one part, each part should be </w:t>
      </w:r>
      <w:proofErr w:type="spellStart"/>
      <w:r w:rsidRPr="00692E5F">
        <w:rPr>
          <w:rFonts w:ascii="Times New Roman" w:hAnsi="Times New Roman"/>
          <w:sz w:val="18"/>
          <w:szCs w:val="18"/>
          <w:lang w:val="en-GB" w:eastAsia="en-GB"/>
        </w:rPr>
        <w:t>labeled</w:t>
      </w:r>
      <w:proofErr w:type="spellEnd"/>
      <w:r w:rsidRPr="00692E5F">
        <w:rPr>
          <w:rFonts w:ascii="Times New Roman" w:hAnsi="Times New Roman"/>
          <w:sz w:val="18"/>
          <w:szCs w:val="18"/>
          <w:lang w:val="en-GB" w:eastAsia="en-GB"/>
        </w:rPr>
        <w:t xml:space="preserve"> (a), (b), etc. Using a table, as in the above example, helps you control the layout</w:t>
      </w:r>
    </w:p>
    <w:p w14:paraId="2E3DC20D" w14:textId="77777777" w:rsidR="00692E5F" w:rsidRPr="00692E5F" w:rsidRDefault="00692E5F" w:rsidP="00BE551C">
      <w:pPr>
        <w:spacing w:after="0" w:line="240" w:lineRule="auto"/>
        <w:ind w:firstLine="284"/>
        <w:jc w:val="both"/>
        <w:rPr>
          <w:rFonts w:ascii="Times New Roman" w:hAnsi="Times New Roman"/>
          <w:sz w:val="18"/>
          <w:szCs w:val="18"/>
          <w:lang w:val="en-GB" w:eastAsia="en-GB"/>
        </w:rPr>
      </w:pPr>
    </w:p>
    <w:p w14:paraId="76308A68" w14:textId="00FB867C" w:rsidR="00BE551C" w:rsidRDefault="00BE551C" w:rsidP="00BE551C">
      <w:pPr>
        <w:spacing w:after="0" w:line="240" w:lineRule="auto"/>
        <w:ind w:firstLine="284"/>
        <w:jc w:val="both"/>
        <w:rPr>
          <w:rFonts w:ascii="Times New Roman" w:hAnsi="Times New Roman"/>
          <w:sz w:val="20"/>
          <w:szCs w:val="20"/>
          <w:lang w:val="en-GB" w:eastAsia="en-GB"/>
        </w:rPr>
      </w:pPr>
      <w:r w:rsidRPr="00BE551C">
        <w:rPr>
          <w:rFonts w:ascii="Times New Roman" w:hAnsi="Times New Roman"/>
          <w:sz w:val="20"/>
          <w:szCs w:val="20"/>
          <w:lang w:val="en-GB" w:eastAsia="en-GB"/>
        </w:rPr>
        <w:t xml:space="preserve">Cite all figures in the text in consecutive order. The word “Figure” should be spelled out if it is the first word of the sentence and abbreviated as “Fig.” elsewhere in the text. Place the figures as close as possible to their first mention in the text at the top or bottom of the page with the figure caption positioned below, all </w:t>
      </w:r>
      <w:proofErr w:type="spellStart"/>
      <w:r w:rsidRPr="00BE551C">
        <w:rPr>
          <w:rFonts w:ascii="Times New Roman" w:hAnsi="Times New Roman"/>
          <w:sz w:val="20"/>
          <w:szCs w:val="20"/>
          <w:lang w:val="en-GB" w:eastAsia="en-GB"/>
        </w:rPr>
        <w:t>centered</w:t>
      </w:r>
      <w:proofErr w:type="spellEnd"/>
      <w:r w:rsidRPr="00BE551C">
        <w:rPr>
          <w:rFonts w:ascii="Times New Roman" w:hAnsi="Times New Roman"/>
          <w:sz w:val="20"/>
          <w:szCs w:val="20"/>
          <w:lang w:val="en-GB" w:eastAsia="en-GB"/>
        </w:rPr>
        <w:t>. Figures must be inserted in the text and may not follow the Reference section.</w:t>
      </w:r>
    </w:p>
    <w:p w14:paraId="1E558324" w14:textId="77777777" w:rsidR="00BE551C" w:rsidRPr="00BE551C" w:rsidRDefault="00BE551C" w:rsidP="00BE551C">
      <w:pPr>
        <w:spacing w:after="0" w:line="240" w:lineRule="auto"/>
        <w:ind w:firstLine="284"/>
        <w:jc w:val="both"/>
        <w:rPr>
          <w:rFonts w:ascii="Times New Roman" w:hAnsi="Times New Roman"/>
          <w:sz w:val="20"/>
          <w:szCs w:val="20"/>
          <w:lang w:val="en-GB" w:eastAsia="en-GB"/>
        </w:rPr>
      </w:pPr>
    </w:p>
    <w:p w14:paraId="28BE5173" w14:textId="3952D9B9" w:rsidR="00A740F6" w:rsidRDefault="00BE551C" w:rsidP="00100C84">
      <w:pPr>
        <w:pStyle w:val="Heading2"/>
        <w:spacing w:before="0"/>
      </w:pPr>
      <w:r>
        <w:rPr>
          <w:rFonts w:cs="Times New Roman"/>
        </w:rPr>
        <w:t xml:space="preserve">Methods </w:t>
      </w:r>
      <w:r w:rsidRPr="00075EA6">
        <w:t>(Second Level Heading)</w:t>
      </w:r>
    </w:p>
    <w:p w14:paraId="28DE89A6" w14:textId="77777777" w:rsidR="00692E5F" w:rsidRDefault="00692E5F" w:rsidP="00692E5F">
      <w:pPr>
        <w:rPr>
          <w:rFonts w:ascii="Times New Roman" w:hAnsi="Times New Roman"/>
          <w:caps/>
          <w:sz w:val="20"/>
          <w:szCs w:val="20"/>
          <w:lang w:val="en-US" w:eastAsia="en-US"/>
        </w:rPr>
      </w:pPr>
      <w:r w:rsidRPr="00BE551C">
        <w:rPr>
          <w:rFonts w:ascii="Times New Roman" w:hAnsi="Times New Roman"/>
          <w:sz w:val="20"/>
          <w:szCs w:val="20"/>
          <w:lang w:val="en-US" w:eastAsia="en-US"/>
        </w:rPr>
        <w:t xml:space="preserve">(Use the Microsoft Word template style: </w:t>
      </w:r>
      <w:r w:rsidRPr="00BE551C">
        <w:rPr>
          <w:rFonts w:ascii="Times New Roman" w:hAnsi="Times New Roman"/>
          <w:i/>
          <w:iCs/>
          <w:sz w:val="20"/>
          <w:szCs w:val="20"/>
          <w:lang w:val="en-US" w:eastAsia="en-US"/>
        </w:rPr>
        <w:t>Heading 2</w:t>
      </w:r>
      <w:r w:rsidRPr="00BE551C">
        <w:rPr>
          <w:rFonts w:ascii="Times New Roman" w:hAnsi="Times New Roman"/>
          <w:sz w:val="20"/>
          <w:szCs w:val="20"/>
          <w:lang w:val="en-US" w:eastAsia="en-US"/>
        </w:rPr>
        <w:t xml:space="preserve">) or </w:t>
      </w:r>
      <w:r w:rsidRPr="00BE551C">
        <w:rPr>
          <w:rFonts w:ascii="Times New Roman" w:hAnsi="Times New Roman"/>
          <w:caps/>
          <w:sz w:val="20"/>
          <w:szCs w:val="20"/>
          <w:lang w:val="en-US" w:eastAsia="en-US"/>
        </w:rPr>
        <w:t>(</w:t>
      </w:r>
      <w:r w:rsidRPr="00BE551C">
        <w:rPr>
          <w:rFonts w:ascii="Times New Roman" w:hAnsi="Times New Roman"/>
          <w:sz w:val="20"/>
          <w:szCs w:val="20"/>
          <w:lang w:val="en-US" w:eastAsia="en-US"/>
        </w:rPr>
        <w:t xml:space="preserve">Use Times New Roman Font: </w:t>
      </w:r>
      <w:r w:rsidRPr="00BE551C">
        <w:rPr>
          <w:rFonts w:ascii="Times New Roman" w:hAnsi="Times New Roman"/>
          <w:caps/>
          <w:sz w:val="20"/>
          <w:szCs w:val="20"/>
          <w:lang w:val="en-US" w:eastAsia="en-US"/>
        </w:rPr>
        <w:t xml:space="preserve">12 pt, </w:t>
      </w:r>
      <w:r w:rsidRPr="00BE551C">
        <w:rPr>
          <w:rFonts w:ascii="Times New Roman" w:hAnsi="Times New Roman"/>
          <w:sz w:val="20"/>
          <w:szCs w:val="20"/>
          <w:lang w:val="en-US" w:eastAsia="en-US"/>
        </w:rPr>
        <w:t>Bold, Centered</w:t>
      </w:r>
      <w:r w:rsidRPr="00BE551C">
        <w:rPr>
          <w:rFonts w:ascii="Times New Roman" w:hAnsi="Times New Roman"/>
          <w:caps/>
          <w:sz w:val="20"/>
          <w:szCs w:val="20"/>
          <w:lang w:val="en-US" w:eastAsia="en-US"/>
        </w:rPr>
        <w:t>)</w:t>
      </w:r>
    </w:p>
    <w:p w14:paraId="44011350" w14:textId="636EBBA5" w:rsidR="00692E5F" w:rsidRPr="00692E5F" w:rsidRDefault="00D97F34" w:rsidP="00692E5F">
      <w:pPr>
        <w:keepNext/>
        <w:spacing w:before="240" w:after="240" w:line="240" w:lineRule="auto"/>
        <w:jc w:val="center"/>
        <w:outlineLvl w:val="2"/>
        <w:rPr>
          <w:rFonts w:ascii="Times New Roman" w:hAnsi="Times New Roman"/>
          <w:i/>
          <w:iCs/>
          <w:sz w:val="20"/>
          <w:szCs w:val="20"/>
          <w:lang w:val="en-GB" w:eastAsia="en-GB"/>
        </w:rPr>
      </w:pPr>
      <w:r>
        <w:rPr>
          <w:rFonts w:ascii="Times New Roman" w:hAnsi="Times New Roman"/>
          <w:i/>
          <w:iCs/>
          <w:sz w:val="20"/>
          <w:szCs w:val="20"/>
          <w:lang w:val="en-GB" w:eastAsia="en-GB"/>
        </w:rPr>
        <w:t xml:space="preserve">Example </w:t>
      </w:r>
      <w:r w:rsidR="00692E5F">
        <w:rPr>
          <w:rFonts w:ascii="Times New Roman" w:hAnsi="Times New Roman"/>
          <w:i/>
          <w:iCs/>
          <w:sz w:val="20"/>
          <w:szCs w:val="20"/>
          <w:lang w:val="en-GB" w:eastAsia="en-GB"/>
        </w:rPr>
        <w:t xml:space="preserve">Method </w:t>
      </w:r>
      <w:proofErr w:type="spellStart"/>
      <w:r>
        <w:rPr>
          <w:rFonts w:ascii="Times New Roman" w:hAnsi="Times New Roman"/>
          <w:i/>
          <w:iCs/>
          <w:sz w:val="20"/>
          <w:szCs w:val="20"/>
          <w:lang w:val="en-GB" w:eastAsia="en-GB"/>
        </w:rPr>
        <w:t>xxxx</w:t>
      </w:r>
      <w:proofErr w:type="spellEnd"/>
      <w:r w:rsidR="00692E5F" w:rsidRPr="00692E5F">
        <w:rPr>
          <w:rFonts w:ascii="Times New Roman" w:hAnsi="Times New Roman"/>
          <w:i/>
          <w:iCs/>
          <w:sz w:val="20"/>
          <w:szCs w:val="20"/>
          <w:lang w:val="en-GB" w:eastAsia="en-GB"/>
        </w:rPr>
        <w:t xml:space="preserve"> (Third Level Heading)</w:t>
      </w:r>
      <w:r w:rsidR="00692E5F" w:rsidRPr="00692E5F">
        <w:rPr>
          <w:rFonts w:ascii="Times New Roman" w:hAnsi="Times New Roman"/>
          <w:i/>
          <w:iCs/>
          <w:sz w:val="20"/>
          <w:szCs w:val="20"/>
          <w:lang w:val="en-GB" w:eastAsia="en-GB"/>
        </w:rPr>
        <w:br/>
        <w:t>(Use the Microsoft Word template style: Heading 3</w:t>
      </w:r>
      <w:r w:rsidR="00692E5F" w:rsidRPr="00692E5F">
        <w:rPr>
          <w:rFonts w:ascii="Times New Roman" w:hAnsi="Times New Roman"/>
          <w:bCs/>
          <w:i/>
          <w:iCs/>
          <w:sz w:val="20"/>
          <w:szCs w:val="20"/>
          <w:lang w:val="en-GB" w:eastAsia="en-GB"/>
        </w:rPr>
        <w:t xml:space="preserve">) or </w:t>
      </w:r>
      <w:r w:rsidR="00692E5F" w:rsidRPr="00692E5F">
        <w:rPr>
          <w:rFonts w:ascii="Times New Roman" w:hAnsi="Times New Roman"/>
          <w:i/>
          <w:iCs/>
          <w:sz w:val="20"/>
          <w:szCs w:val="20"/>
          <w:lang w:val="en-GB" w:eastAsia="en-GB"/>
        </w:rPr>
        <w:t xml:space="preserve">(Use Times New Roman Font: 10 pt, Italic, </w:t>
      </w:r>
      <w:proofErr w:type="spellStart"/>
      <w:r w:rsidR="00692E5F" w:rsidRPr="00692E5F">
        <w:rPr>
          <w:rFonts w:ascii="Times New Roman" w:hAnsi="Times New Roman"/>
          <w:i/>
          <w:iCs/>
          <w:sz w:val="20"/>
          <w:szCs w:val="20"/>
          <w:lang w:val="en-GB" w:eastAsia="en-GB"/>
        </w:rPr>
        <w:t>Centered</w:t>
      </w:r>
      <w:proofErr w:type="spellEnd"/>
      <w:r w:rsidR="00692E5F" w:rsidRPr="00692E5F">
        <w:rPr>
          <w:rFonts w:ascii="Times New Roman" w:hAnsi="Times New Roman"/>
          <w:i/>
          <w:iCs/>
          <w:sz w:val="20"/>
          <w:szCs w:val="20"/>
          <w:lang w:val="en-GB" w:eastAsia="en-GB"/>
        </w:rPr>
        <w:t>)</w:t>
      </w:r>
    </w:p>
    <w:p w14:paraId="7F766735" w14:textId="77777777" w:rsidR="00BE551C" w:rsidRDefault="00BE551C" w:rsidP="00BE551C">
      <w:pPr>
        <w:pStyle w:val="Paragraph"/>
      </w:pPr>
      <w:r w:rsidRPr="005A0E21">
        <w:t>Due to the wide range and complexity of tables</w:t>
      </w:r>
      <w:r>
        <w:t>,</w:t>
      </w:r>
      <w:r w:rsidRPr="005A0E21">
        <w:t xml:space="preserve"> we simply</w:t>
      </w:r>
      <w:r>
        <w:t xml:space="preserve"> offer an example for guidance. Please follow the style for table (and figure) captions. </w:t>
      </w:r>
    </w:p>
    <w:tbl>
      <w:tblPr>
        <w:tblW w:w="0" w:type="auto"/>
        <w:jc w:val="center"/>
        <w:tblBorders>
          <w:bottom w:val="single" w:sz="4" w:space="0" w:color="auto"/>
        </w:tblBorders>
        <w:tblLayout w:type="fixed"/>
        <w:tblLook w:val="0000" w:firstRow="0" w:lastRow="0" w:firstColumn="0" w:lastColumn="0" w:noHBand="0" w:noVBand="0"/>
      </w:tblPr>
      <w:tblGrid>
        <w:gridCol w:w="2790"/>
        <w:gridCol w:w="2790"/>
        <w:gridCol w:w="2790"/>
      </w:tblGrid>
      <w:tr w:rsidR="00692E5F" w:rsidRPr="00692E5F" w14:paraId="4FE65ADC" w14:textId="77777777" w:rsidTr="007D029D">
        <w:trPr>
          <w:cantSplit/>
          <w:trHeight w:val="783"/>
          <w:jc w:val="center"/>
        </w:trPr>
        <w:tc>
          <w:tcPr>
            <w:tcW w:w="8370" w:type="dxa"/>
            <w:gridSpan w:val="3"/>
            <w:tcBorders>
              <w:bottom w:val="nil"/>
            </w:tcBorders>
          </w:tcPr>
          <w:p w14:paraId="108B6D22" w14:textId="77777777" w:rsidR="00692E5F" w:rsidRPr="00692E5F" w:rsidRDefault="00692E5F" w:rsidP="00692E5F">
            <w:pPr>
              <w:spacing w:before="120" w:after="0" w:line="240" w:lineRule="auto"/>
              <w:jc w:val="center"/>
              <w:rPr>
                <w:rFonts w:ascii="Times New Roman" w:hAnsi="Times New Roman"/>
                <w:sz w:val="18"/>
                <w:szCs w:val="18"/>
                <w:lang w:val="en-US" w:eastAsia="en-US"/>
              </w:rPr>
            </w:pPr>
            <w:r w:rsidRPr="00692E5F">
              <w:rPr>
                <w:rFonts w:ascii="Times New Roman" w:hAnsi="Times New Roman"/>
                <w:b/>
                <w:sz w:val="18"/>
                <w:szCs w:val="18"/>
                <w:lang w:val="en-US" w:eastAsia="en-US"/>
              </w:rPr>
              <w:t xml:space="preserve">TABLE 1. </w:t>
            </w:r>
            <w:r w:rsidRPr="00692E5F">
              <w:rPr>
                <w:rFonts w:ascii="Times New Roman" w:hAnsi="Times New Roman"/>
                <w:sz w:val="18"/>
                <w:szCs w:val="18"/>
                <w:lang w:val="en-US" w:eastAsia="en-US"/>
              </w:rPr>
              <w:t xml:space="preserve">To format a table caption, use the Microsoft Word template style: </w:t>
            </w:r>
            <w:r w:rsidRPr="00692E5F">
              <w:rPr>
                <w:rFonts w:ascii="Times New Roman" w:hAnsi="Times New Roman"/>
                <w:i/>
                <w:iCs/>
                <w:sz w:val="18"/>
                <w:szCs w:val="18"/>
                <w:lang w:val="en-US" w:eastAsia="en-US"/>
              </w:rPr>
              <w:t>Table Caption</w:t>
            </w:r>
            <w:r w:rsidRPr="00692E5F">
              <w:rPr>
                <w:rFonts w:ascii="Times New Roman" w:hAnsi="Times New Roman"/>
                <w:sz w:val="18"/>
                <w:szCs w:val="18"/>
                <w:lang w:val="en-US" w:eastAsia="en-US"/>
              </w:rPr>
              <w:t xml:space="preserve">. The text </w:t>
            </w:r>
            <w:r w:rsidRPr="00692E5F">
              <w:rPr>
                <w:rFonts w:ascii="Times New Roman" w:hAnsi="Times New Roman"/>
                <w:sz w:val="18"/>
                <w:szCs w:val="18"/>
                <w:lang w:val="en-US" w:eastAsia="en-US"/>
              </w:rPr>
              <w:br/>
              <w:t>“</w:t>
            </w:r>
            <w:r w:rsidRPr="00692E5F">
              <w:rPr>
                <w:rFonts w:ascii="Times New Roman" w:hAnsi="Times New Roman"/>
                <w:b/>
                <w:sz w:val="18"/>
                <w:szCs w:val="18"/>
                <w:lang w:val="en-US" w:eastAsia="en-US"/>
              </w:rPr>
              <w:t>TABLE 1,</w:t>
            </w:r>
            <w:r w:rsidRPr="00692E5F">
              <w:rPr>
                <w:rFonts w:ascii="Times New Roman" w:hAnsi="Times New Roman"/>
                <w:sz w:val="18"/>
                <w:szCs w:val="18"/>
                <w:lang w:val="en-US" w:eastAsia="en-US"/>
              </w:rPr>
              <w:t>” which labels the caption, should be bold and all letters capitalized. Center this text above the Table. Tables should have top and bottom rules, and a rule separating the column heads from the rest of the table only.</w:t>
            </w:r>
          </w:p>
        </w:tc>
      </w:tr>
      <w:tr w:rsidR="00692E5F" w:rsidRPr="00692E5F" w14:paraId="00EE07B4" w14:textId="77777777" w:rsidTr="007D029D">
        <w:trPr>
          <w:cantSplit/>
          <w:trHeight w:val="272"/>
          <w:jc w:val="center"/>
        </w:trPr>
        <w:tc>
          <w:tcPr>
            <w:tcW w:w="2790" w:type="dxa"/>
            <w:tcBorders>
              <w:top w:val="single" w:sz="4" w:space="0" w:color="auto"/>
              <w:bottom w:val="single" w:sz="4" w:space="0" w:color="auto"/>
            </w:tcBorders>
            <w:vAlign w:val="center"/>
          </w:tcPr>
          <w:p w14:paraId="53389BE3" w14:textId="77777777" w:rsidR="00692E5F" w:rsidRPr="00692E5F" w:rsidRDefault="00692E5F" w:rsidP="00692E5F">
            <w:pPr>
              <w:spacing w:after="0" w:line="240" w:lineRule="auto"/>
              <w:jc w:val="center"/>
              <w:rPr>
                <w:rFonts w:ascii="Times New Roman" w:hAnsi="Times New Roman"/>
                <w:sz w:val="24"/>
                <w:szCs w:val="20"/>
                <w:lang w:val="en-US" w:eastAsia="en-US"/>
              </w:rPr>
            </w:pPr>
            <w:r w:rsidRPr="00692E5F">
              <w:rPr>
                <w:rFonts w:ascii="Times New Roman" w:hAnsi="Times New Roman"/>
                <w:b/>
                <w:sz w:val="18"/>
                <w:szCs w:val="18"/>
                <w:lang w:val="en-US" w:eastAsia="en-US"/>
              </w:rPr>
              <w:t>Column Header Goes Here</w:t>
            </w:r>
          </w:p>
        </w:tc>
        <w:tc>
          <w:tcPr>
            <w:tcW w:w="2790" w:type="dxa"/>
            <w:tcBorders>
              <w:top w:val="single" w:sz="4" w:space="0" w:color="auto"/>
              <w:bottom w:val="single" w:sz="4" w:space="0" w:color="auto"/>
            </w:tcBorders>
            <w:vAlign w:val="center"/>
          </w:tcPr>
          <w:p w14:paraId="3DC137DF" w14:textId="77777777" w:rsidR="00692E5F" w:rsidRPr="00692E5F" w:rsidRDefault="00692E5F" w:rsidP="00692E5F">
            <w:pPr>
              <w:spacing w:after="0" w:line="240" w:lineRule="auto"/>
              <w:jc w:val="center"/>
              <w:rPr>
                <w:rFonts w:ascii="Times New Roman" w:hAnsi="Times New Roman"/>
                <w:b/>
                <w:sz w:val="18"/>
                <w:szCs w:val="18"/>
                <w:lang w:val="en-US" w:eastAsia="en-US"/>
              </w:rPr>
            </w:pPr>
            <w:r w:rsidRPr="00692E5F">
              <w:rPr>
                <w:rFonts w:ascii="Times New Roman" w:hAnsi="Times New Roman"/>
                <w:b/>
                <w:sz w:val="18"/>
                <w:szCs w:val="18"/>
                <w:lang w:val="en-US" w:eastAsia="en-US"/>
              </w:rPr>
              <w:t>Column Header Goes Here</w:t>
            </w:r>
          </w:p>
        </w:tc>
        <w:tc>
          <w:tcPr>
            <w:tcW w:w="2790" w:type="dxa"/>
            <w:tcBorders>
              <w:top w:val="single" w:sz="4" w:space="0" w:color="auto"/>
              <w:bottom w:val="single" w:sz="4" w:space="0" w:color="auto"/>
            </w:tcBorders>
            <w:vAlign w:val="center"/>
          </w:tcPr>
          <w:p w14:paraId="388928C6" w14:textId="77777777" w:rsidR="00692E5F" w:rsidRPr="00692E5F" w:rsidRDefault="00692E5F" w:rsidP="00692E5F">
            <w:pPr>
              <w:spacing w:after="0" w:line="240" w:lineRule="auto"/>
              <w:jc w:val="center"/>
              <w:rPr>
                <w:rFonts w:ascii="Times New Roman" w:hAnsi="Times New Roman"/>
                <w:b/>
                <w:sz w:val="18"/>
                <w:szCs w:val="18"/>
                <w:lang w:val="en-US" w:eastAsia="en-US"/>
              </w:rPr>
            </w:pPr>
            <w:r w:rsidRPr="00692E5F">
              <w:rPr>
                <w:rFonts w:ascii="Times New Roman" w:hAnsi="Times New Roman"/>
                <w:b/>
                <w:sz w:val="18"/>
                <w:szCs w:val="18"/>
                <w:lang w:val="en-US" w:eastAsia="en-US"/>
              </w:rPr>
              <w:t>Column Header Goes Here</w:t>
            </w:r>
          </w:p>
        </w:tc>
      </w:tr>
      <w:tr w:rsidR="00692E5F" w:rsidRPr="00692E5F" w14:paraId="262B76DB" w14:textId="77777777" w:rsidTr="007D029D">
        <w:trPr>
          <w:cantSplit/>
          <w:jc w:val="center"/>
        </w:trPr>
        <w:tc>
          <w:tcPr>
            <w:tcW w:w="2790" w:type="dxa"/>
            <w:tcBorders>
              <w:top w:val="nil"/>
            </w:tcBorders>
          </w:tcPr>
          <w:p w14:paraId="46AA3AB7" w14:textId="77777777" w:rsidR="00692E5F" w:rsidRPr="00692E5F" w:rsidRDefault="00692E5F" w:rsidP="00692E5F">
            <w:pPr>
              <w:spacing w:after="0" w:line="240" w:lineRule="auto"/>
              <w:ind w:firstLine="284"/>
              <w:jc w:val="both"/>
              <w:rPr>
                <w:rFonts w:ascii="Times New Roman" w:hAnsi="Times New Roman"/>
                <w:sz w:val="20"/>
                <w:szCs w:val="20"/>
                <w:lang w:val="en-US" w:eastAsia="en-US"/>
              </w:rPr>
            </w:pPr>
            <w:r w:rsidRPr="00692E5F">
              <w:rPr>
                <w:rFonts w:ascii="Times New Roman" w:hAnsi="Times New Roman"/>
                <w:sz w:val="20"/>
                <w:szCs w:val="20"/>
                <w:lang w:val="en-US" w:eastAsia="en-US"/>
              </w:rPr>
              <w:t>Row Name Here</w:t>
            </w:r>
          </w:p>
        </w:tc>
        <w:tc>
          <w:tcPr>
            <w:tcW w:w="2790" w:type="dxa"/>
            <w:tcBorders>
              <w:top w:val="nil"/>
            </w:tcBorders>
          </w:tcPr>
          <w:p w14:paraId="0B9B4C69" w14:textId="77777777" w:rsidR="00692E5F" w:rsidRPr="00692E5F" w:rsidRDefault="00692E5F" w:rsidP="00692E5F">
            <w:pPr>
              <w:spacing w:after="0" w:line="240" w:lineRule="auto"/>
              <w:jc w:val="center"/>
              <w:rPr>
                <w:rFonts w:ascii="Times New Roman" w:hAnsi="Times New Roman"/>
                <w:sz w:val="20"/>
                <w:szCs w:val="20"/>
                <w:lang w:val="en-US" w:eastAsia="en-US"/>
              </w:rPr>
            </w:pPr>
            <w:r w:rsidRPr="00692E5F">
              <w:rPr>
                <w:rFonts w:ascii="Times New Roman" w:hAnsi="Times New Roman"/>
                <w:sz w:val="20"/>
                <w:szCs w:val="20"/>
                <w:lang w:val="en-US" w:eastAsia="en-US"/>
              </w:rPr>
              <w:t>x</w:t>
            </w:r>
          </w:p>
        </w:tc>
        <w:tc>
          <w:tcPr>
            <w:tcW w:w="2790" w:type="dxa"/>
            <w:tcBorders>
              <w:top w:val="nil"/>
            </w:tcBorders>
          </w:tcPr>
          <w:p w14:paraId="5FCF137C" w14:textId="77777777" w:rsidR="00692E5F" w:rsidRPr="00692E5F" w:rsidRDefault="00692E5F" w:rsidP="00692E5F">
            <w:pPr>
              <w:spacing w:after="0" w:line="240" w:lineRule="auto"/>
              <w:jc w:val="center"/>
              <w:rPr>
                <w:rFonts w:ascii="Times New Roman" w:hAnsi="Times New Roman"/>
                <w:sz w:val="20"/>
                <w:szCs w:val="20"/>
                <w:lang w:val="en-US" w:eastAsia="en-US"/>
              </w:rPr>
            </w:pPr>
            <w:r w:rsidRPr="00692E5F">
              <w:rPr>
                <w:rFonts w:ascii="Times New Roman" w:hAnsi="Times New Roman"/>
                <w:sz w:val="20"/>
                <w:szCs w:val="20"/>
                <w:lang w:val="en-US" w:eastAsia="en-US"/>
              </w:rPr>
              <w:t>x</w:t>
            </w:r>
          </w:p>
        </w:tc>
      </w:tr>
      <w:tr w:rsidR="00692E5F" w:rsidRPr="00692E5F" w14:paraId="1398CC41" w14:textId="77777777" w:rsidTr="007D029D">
        <w:trPr>
          <w:cantSplit/>
          <w:jc w:val="center"/>
        </w:trPr>
        <w:tc>
          <w:tcPr>
            <w:tcW w:w="2790" w:type="dxa"/>
          </w:tcPr>
          <w:p w14:paraId="6C7B7E3B" w14:textId="77777777" w:rsidR="00692E5F" w:rsidRPr="00692E5F" w:rsidRDefault="00692E5F" w:rsidP="00692E5F">
            <w:pPr>
              <w:spacing w:after="0" w:line="240" w:lineRule="auto"/>
              <w:ind w:firstLine="284"/>
              <w:jc w:val="both"/>
              <w:rPr>
                <w:rFonts w:ascii="Times New Roman" w:hAnsi="Times New Roman"/>
                <w:sz w:val="20"/>
                <w:szCs w:val="20"/>
                <w:lang w:val="en-US" w:eastAsia="en-US"/>
              </w:rPr>
            </w:pPr>
            <w:r w:rsidRPr="00692E5F">
              <w:rPr>
                <w:rFonts w:ascii="Times New Roman" w:hAnsi="Times New Roman"/>
                <w:sz w:val="20"/>
                <w:szCs w:val="20"/>
                <w:lang w:val="en-US" w:eastAsia="en-US"/>
              </w:rPr>
              <w:t>Row Name Here</w:t>
            </w:r>
          </w:p>
        </w:tc>
        <w:tc>
          <w:tcPr>
            <w:tcW w:w="2790" w:type="dxa"/>
          </w:tcPr>
          <w:p w14:paraId="58A692FF" w14:textId="77777777" w:rsidR="00692E5F" w:rsidRPr="00692E5F" w:rsidRDefault="00692E5F" w:rsidP="00692E5F">
            <w:pPr>
              <w:spacing w:after="0" w:line="240" w:lineRule="auto"/>
              <w:jc w:val="center"/>
              <w:rPr>
                <w:rFonts w:ascii="Times New Roman" w:hAnsi="Times New Roman"/>
                <w:sz w:val="20"/>
                <w:szCs w:val="20"/>
                <w:lang w:val="en-US" w:eastAsia="en-US"/>
              </w:rPr>
            </w:pPr>
            <w:r w:rsidRPr="00692E5F">
              <w:rPr>
                <w:rFonts w:ascii="Times New Roman" w:hAnsi="Times New Roman"/>
                <w:sz w:val="20"/>
                <w:szCs w:val="20"/>
                <w:lang w:val="en-US" w:eastAsia="en-US"/>
              </w:rPr>
              <w:t>x</w:t>
            </w:r>
          </w:p>
        </w:tc>
        <w:tc>
          <w:tcPr>
            <w:tcW w:w="2790" w:type="dxa"/>
          </w:tcPr>
          <w:p w14:paraId="09621A54" w14:textId="77777777" w:rsidR="00692E5F" w:rsidRPr="00692E5F" w:rsidRDefault="00692E5F" w:rsidP="00692E5F">
            <w:pPr>
              <w:spacing w:after="0" w:line="240" w:lineRule="auto"/>
              <w:jc w:val="center"/>
              <w:rPr>
                <w:rFonts w:ascii="Times New Roman" w:hAnsi="Times New Roman"/>
                <w:sz w:val="20"/>
                <w:szCs w:val="20"/>
                <w:lang w:val="en-US" w:eastAsia="en-US"/>
              </w:rPr>
            </w:pPr>
            <w:r w:rsidRPr="00692E5F">
              <w:rPr>
                <w:rFonts w:ascii="Times New Roman" w:hAnsi="Times New Roman"/>
                <w:sz w:val="20"/>
                <w:szCs w:val="20"/>
                <w:lang w:val="en-US" w:eastAsia="en-US"/>
              </w:rPr>
              <w:t>x</w:t>
            </w:r>
          </w:p>
        </w:tc>
      </w:tr>
      <w:tr w:rsidR="00692E5F" w:rsidRPr="00692E5F" w14:paraId="00BF8A24" w14:textId="77777777" w:rsidTr="007D029D">
        <w:trPr>
          <w:cantSplit/>
          <w:trHeight w:val="237"/>
          <w:jc w:val="center"/>
        </w:trPr>
        <w:tc>
          <w:tcPr>
            <w:tcW w:w="2790" w:type="dxa"/>
          </w:tcPr>
          <w:p w14:paraId="67E094E1" w14:textId="77777777" w:rsidR="00692E5F" w:rsidRPr="00692E5F" w:rsidRDefault="00692E5F" w:rsidP="00692E5F">
            <w:pPr>
              <w:spacing w:after="0" w:line="240" w:lineRule="auto"/>
              <w:ind w:firstLine="284"/>
              <w:jc w:val="both"/>
              <w:rPr>
                <w:rFonts w:ascii="Times New Roman" w:hAnsi="Times New Roman"/>
                <w:sz w:val="20"/>
                <w:szCs w:val="20"/>
                <w:lang w:val="en-US" w:eastAsia="en-US"/>
              </w:rPr>
            </w:pPr>
            <w:r w:rsidRPr="00692E5F">
              <w:rPr>
                <w:rFonts w:ascii="Times New Roman" w:hAnsi="Times New Roman"/>
                <w:sz w:val="20"/>
                <w:szCs w:val="20"/>
                <w:lang w:val="en-US" w:eastAsia="en-US"/>
              </w:rPr>
              <w:t>Row Name Here</w:t>
            </w:r>
          </w:p>
        </w:tc>
        <w:tc>
          <w:tcPr>
            <w:tcW w:w="2790" w:type="dxa"/>
          </w:tcPr>
          <w:p w14:paraId="2DBC6F94" w14:textId="77777777" w:rsidR="00692E5F" w:rsidRPr="00692E5F" w:rsidRDefault="00692E5F" w:rsidP="00692E5F">
            <w:pPr>
              <w:spacing w:after="0" w:line="240" w:lineRule="auto"/>
              <w:jc w:val="center"/>
              <w:rPr>
                <w:rFonts w:ascii="Times New Roman" w:hAnsi="Times New Roman"/>
                <w:sz w:val="20"/>
                <w:szCs w:val="20"/>
                <w:lang w:val="en-US" w:eastAsia="en-US"/>
              </w:rPr>
            </w:pPr>
            <w:r w:rsidRPr="00692E5F">
              <w:rPr>
                <w:rFonts w:ascii="Times New Roman" w:hAnsi="Times New Roman"/>
                <w:sz w:val="20"/>
                <w:szCs w:val="20"/>
                <w:lang w:val="en-US" w:eastAsia="en-US"/>
              </w:rPr>
              <w:t>x</w:t>
            </w:r>
          </w:p>
        </w:tc>
        <w:tc>
          <w:tcPr>
            <w:tcW w:w="2790" w:type="dxa"/>
          </w:tcPr>
          <w:p w14:paraId="31115390" w14:textId="77777777" w:rsidR="00692E5F" w:rsidRPr="00692E5F" w:rsidRDefault="00692E5F" w:rsidP="00692E5F">
            <w:pPr>
              <w:spacing w:after="0" w:line="240" w:lineRule="auto"/>
              <w:jc w:val="center"/>
              <w:rPr>
                <w:rFonts w:ascii="Times New Roman" w:hAnsi="Times New Roman"/>
                <w:sz w:val="20"/>
                <w:szCs w:val="20"/>
                <w:lang w:val="en-US" w:eastAsia="en-US"/>
              </w:rPr>
            </w:pPr>
            <w:r w:rsidRPr="00692E5F">
              <w:rPr>
                <w:rFonts w:ascii="Times New Roman" w:hAnsi="Times New Roman"/>
                <w:sz w:val="20"/>
                <w:szCs w:val="20"/>
                <w:lang w:val="en-US" w:eastAsia="en-US"/>
              </w:rPr>
              <w:t>x</w:t>
            </w:r>
          </w:p>
        </w:tc>
      </w:tr>
    </w:tbl>
    <w:p w14:paraId="1AB24608" w14:textId="77777777" w:rsidR="00692E5F" w:rsidRDefault="00692E5F" w:rsidP="002E3142">
      <w:pPr>
        <w:spacing w:after="0"/>
        <w:ind w:firstLine="284"/>
        <w:jc w:val="both"/>
        <w:rPr>
          <w:rFonts w:ascii="Times New Roman" w:hAnsi="Times New Roman"/>
          <w:sz w:val="20"/>
          <w:szCs w:val="20"/>
        </w:rPr>
      </w:pPr>
    </w:p>
    <w:p w14:paraId="2D9B5DA4" w14:textId="77777777" w:rsidR="00692E5F" w:rsidRDefault="00692E5F" w:rsidP="00DF208A">
      <w:pPr>
        <w:pStyle w:val="Heading1"/>
        <w:spacing w:before="0"/>
        <w:rPr>
          <w:rFonts w:cs="Times New Roman"/>
          <w:sz w:val="24"/>
          <w:szCs w:val="28"/>
        </w:rPr>
      </w:pPr>
    </w:p>
    <w:p w14:paraId="2A33F00A" w14:textId="7B2FDC31" w:rsidR="00A740F6" w:rsidRDefault="00E77BDE" w:rsidP="00DF208A">
      <w:pPr>
        <w:pStyle w:val="Heading1"/>
        <w:spacing w:before="0"/>
        <w:rPr>
          <w:rFonts w:cs="Times New Roman"/>
          <w:sz w:val="24"/>
          <w:szCs w:val="28"/>
        </w:rPr>
      </w:pPr>
      <w:r w:rsidRPr="00897463">
        <w:rPr>
          <w:rFonts w:cs="Times New Roman"/>
          <w:sz w:val="24"/>
          <w:szCs w:val="28"/>
        </w:rPr>
        <w:t>RESULT AND DISCU</w:t>
      </w:r>
      <w:r w:rsidR="00D03E74" w:rsidRPr="00897463">
        <w:rPr>
          <w:rFonts w:cs="Times New Roman"/>
          <w:sz w:val="24"/>
          <w:szCs w:val="28"/>
        </w:rPr>
        <w:t>S</w:t>
      </w:r>
      <w:r w:rsidRPr="00897463">
        <w:rPr>
          <w:rFonts w:cs="Times New Roman"/>
          <w:sz w:val="24"/>
          <w:szCs w:val="28"/>
        </w:rPr>
        <w:t>SION</w:t>
      </w:r>
      <w:r w:rsidR="00692E5F">
        <w:rPr>
          <w:rFonts w:cs="Times New Roman"/>
          <w:sz w:val="24"/>
          <w:szCs w:val="28"/>
        </w:rPr>
        <w:t xml:space="preserve"> (</w:t>
      </w:r>
      <w:r w:rsidR="00692E5F" w:rsidRPr="00BE551C">
        <w:rPr>
          <w:sz w:val="24"/>
          <w:szCs w:val="24"/>
        </w:rPr>
        <w:t>FIRST LEVEL HEADING)</w:t>
      </w:r>
    </w:p>
    <w:p w14:paraId="388D9D7B" w14:textId="77777777" w:rsidR="00692E5F" w:rsidRDefault="00692E5F" w:rsidP="00692E5F">
      <w:pPr>
        <w:keepNext/>
        <w:spacing w:before="240" w:after="240" w:line="240" w:lineRule="auto"/>
        <w:jc w:val="center"/>
        <w:outlineLvl w:val="0"/>
        <w:rPr>
          <w:rFonts w:ascii="Times New Roman" w:hAnsi="Times New Roman"/>
          <w:sz w:val="20"/>
          <w:szCs w:val="20"/>
          <w:lang w:val="en-US" w:eastAsia="en-US"/>
        </w:rPr>
      </w:pPr>
      <w:r w:rsidRPr="00BE551C">
        <w:rPr>
          <w:rFonts w:ascii="Times New Roman" w:hAnsi="Times New Roman"/>
          <w:sz w:val="20"/>
          <w:szCs w:val="20"/>
          <w:lang w:val="en-US" w:eastAsia="en-US"/>
        </w:rPr>
        <w:t xml:space="preserve">(Use the Microsoft Word template style: </w:t>
      </w:r>
      <w:r w:rsidRPr="00BE551C">
        <w:rPr>
          <w:rFonts w:ascii="Times New Roman" w:hAnsi="Times New Roman"/>
          <w:i/>
          <w:iCs/>
          <w:sz w:val="20"/>
          <w:szCs w:val="20"/>
          <w:lang w:val="en-US" w:eastAsia="en-US"/>
        </w:rPr>
        <w:t>Heading 1</w:t>
      </w:r>
      <w:r w:rsidRPr="00BE551C">
        <w:rPr>
          <w:rFonts w:ascii="Times New Roman" w:hAnsi="Times New Roman"/>
          <w:sz w:val="20"/>
          <w:szCs w:val="20"/>
          <w:lang w:val="en-US" w:eastAsia="en-US"/>
        </w:rPr>
        <w:t>) or (Use Times New Roman Font: 12 pt, Bold, ALL CAPS, Centered)</w:t>
      </w:r>
    </w:p>
    <w:p w14:paraId="757DB900" w14:textId="236BE5A9" w:rsidR="00692E5F" w:rsidRDefault="00692E5F" w:rsidP="00692E5F">
      <w:pPr>
        <w:pStyle w:val="Heading2"/>
        <w:spacing w:before="0"/>
      </w:pPr>
      <w:r>
        <w:rPr>
          <w:rFonts w:cs="Times New Roman"/>
        </w:rPr>
        <w:t>Result</w:t>
      </w:r>
      <w:r>
        <w:rPr>
          <w:rFonts w:cs="Times New Roman"/>
        </w:rPr>
        <w:t xml:space="preserve"> </w:t>
      </w:r>
      <w:r w:rsidRPr="00075EA6">
        <w:t>(Second Level Heading)</w:t>
      </w:r>
    </w:p>
    <w:p w14:paraId="732F2F6E" w14:textId="77777777" w:rsidR="00692E5F" w:rsidRDefault="00692E5F" w:rsidP="00692E5F">
      <w:pPr>
        <w:rPr>
          <w:rFonts w:ascii="Times New Roman" w:hAnsi="Times New Roman"/>
          <w:caps/>
          <w:sz w:val="20"/>
          <w:szCs w:val="20"/>
          <w:lang w:val="en-US" w:eastAsia="en-US"/>
        </w:rPr>
      </w:pPr>
      <w:r w:rsidRPr="00BE551C">
        <w:rPr>
          <w:rFonts w:ascii="Times New Roman" w:hAnsi="Times New Roman"/>
          <w:sz w:val="20"/>
          <w:szCs w:val="20"/>
          <w:lang w:val="en-US" w:eastAsia="en-US"/>
        </w:rPr>
        <w:t xml:space="preserve">(Use the Microsoft Word template style: </w:t>
      </w:r>
      <w:r w:rsidRPr="00BE551C">
        <w:rPr>
          <w:rFonts w:ascii="Times New Roman" w:hAnsi="Times New Roman"/>
          <w:i/>
          <w:iCs/>
          <w:sz w:val="20"/>
          <w:szCs w:val="20"/>
          <w:lang w:val="en-US" w:eastAsia="en-US"/>
        </w:rPr>
        <w:t>Heading 2</w:t>
      </w:r>
      <w:r w:rsidRPr="00BE551C">
        <w:rPr>
          <w:rFonts w:ascii="Times New Roman" w:hAnsi="Times New Roman"/>
          <w:sz w:val="20"/>
          <w:szCs w:val="20"/>
          <w:lang w:val="en-US" w:eastAsia="en-US"/>
        </w:rPr>
        <w:t xml:space="preserve">) or </w:t>
      </w:r>
      <w:r w:rsidRPr="00BE551C">
        <w:rPr>
          <w:rFonts w:ascii="Times New Roman" w:hAnsi="Times New Roman"/>
          <w:caps/>
          <w:sz w:val="20"/>
          <w:szCs w:val="20"/>
          <w:lang w:val="en-US" w:eastAsia="en-US"/>
        </w:rPr>
        <w:t>(</w:t>
      </w:r>
      <w:r w:rsidRPr="00BE551C">
        <w:rPr>
          <w:rFonts w:ascii="Times New Roman" w:hAnsi="Times New Roman"/>
          <w:sz w:val="20"/>
          <w:szCs w:val="20"/>
          <w:lang w:val="en-US" w:eastAsia="en-US"/>
        </w:rPr>
        <w:t xml:space="preserve">Use Times New Roman Font: </w:t>
      </w:r>
      <w:r w:rsidRPr="00BE551C">
        <w:rPr>
          <w:rFonts w:ascii="Times New Roman" w:hAnsi="Times New Roman"/>
          <w:caps/>
          <w:sz w:val="20"/>
          <w:szCs w:val="20"/>
          <w:lang w:val="en-US" w:eastAsia="en-US"/>
        </w:rPr>
        <w:t xml:space="preserve">12 pt, </w:t>
      </w:r>
      <w:r w:rsidRPr="00BE551C">
        <w:rPr>
          <w:rFonts w:ascii="Times New Roman" w:hAnsi="Times New Roman"/>
          <w:sz w:val="20"/>
          <w:szCs w:val="20"/>
          <w:lang w:val="en-US" w:eastAsia="en-US"/>
        </w:rPr>
        <w:t>Bold, Centered</w:t>
      </w:r>
      <w:r w:rsidRPr="00BE551C">
        <w:rPr>
          <w:rFonts w:ascii="Times New Roman" w:hAnsi="Times New Roman"/>
          <w:caps/>
          <w:sz w:val="20"/>
          <w:szCs w:val="20"/>
          <w:lang w:val="en-US" w:eastAsia="en-US"/>
        </w:rPr>
        <w:t>)</w:t>
      </w:r>
    </w:p>
    <w:p w14:paraId="55C6582B" w14:textId="77777777" w:rsidR="00692E5F" w:rsidRPr="00BE551C" w:rsidRDefault="00692E5F" w:rsidP="00692E5F"/>
    <w:p w14:paraId="743B87AB" w14:textId="39078BC6" w:rsidR="00692E5F" w:rsidRDefault="00692E5F" w:rsidP="00692E5F">
      <w:pPr>
        <w:pStyle w:val="Heading2"/>
        <w:spacing w:before="0"/>
      </w:pPr>
      <w:r>
        <w:rPr>
          <w:rFonts w:cs="Times New Roman"/>
        </w:rPr>
        <w:lastRenderedPageBreak/>
        <w:t>Discussion</w:t>
      </w:r>
      <w:r>
        <w:rPr>
          <w:rFonts w:cs="Times New Roman"/>
        </w:rPr>
        <w:t xml:space="preserve"> </w:t>
      </w:r>
      <w:r w:rsidRPr="00075EA6">
        <w:t>(Second Level Heading)</w:t>
      </w:r>
    </w:p>
    <w:p w14:paraId="2AD09CF0" w14:textId="77777777" w:rsidR="00692E5F" w:rsidRDefault="00692E5F" w:rsidP="00692E5F">
      <w:pPr>
        <w:rPr>
          <w:rFonts w:ascii="Times New Roman" w:hAnsi="Times New Roman"/>
          <w:caps/>
          <w:sz w:val="20"/>
          <w:szCs w:val="20"/>
          <w:lang w:val="en-US" w:eastAsia="en-US"/>
        </w:rPr>
      </w:pPr>
      <w:r w:rsidRPr="00BE551C">
        <w:rPr>
          <w:rFonts w:ascii="Times New Roman" w:hAnsi="Times New Roman"/>
          <w:sz w:val="20"/>
          <w:szCs w:val="20"/>
          <w:lang w:val="en-US" w:eastAsia="en-US"/>
        </w:rPr>
        <w:t xml:space="preserve">(Use the Microsoft Word template style: </w:t>
      </w:r>
      <w:r w:rsidRPr="00BE551C">
        <w:rPr>
          <w:rFonts w:ascii="Times New Roman" w:hAnsi="Times New Roman"/>
          <w:i/>
          <w:iCs/>
          <w:sz w:val="20"/>
          <w:szCs w:val="20"/>
          <w:lang w:val="en-US" w:eastAsia="en-US"/>
        </w:rPr>
        <w:t>Heading 2</w:t>
      </w:r>
      <w:r w:rsidRPr="00BE551C">
        <w:rPr>
          <w:rFonts w:ascii="Times New Roman" w:hAnsi="Times New Roman"/>
          <w:sz w:val="20"/>
          <w:szCs w:val="20"/>
          <w:lang w:val="en-US" w:eastAsia="en-US"/>
        </w:rPr>
        <w:t xml:space="preserve">) or </w:t>
      </w:r>
      <w:r w:rsidRPr="00BE551C">
        <w:rPr>
          <w:rFonts w:ascii="Times New Roman" w:hAnsi="Times New Roman"/>
          <w:caps/>
          <w:sz w:val="20"/>
          <w:szCs w:val="20"/>
          <w:lang w:val="en-US" w:eastAsia="en-US"/>
        </w:rPr>
        <w:t>(</w:t>
      </w:r>
      <w:r w:rsidRPr="00BE551C">
        <w:rPr>
          <w:rFonts w:ascii="Times New Roman" w:hAnsi="Times New Roman"/>
          <w:sz w:val="20"/>
          <w:szCs w:val="20"/>
          <w:lang w:val="en-US" w:eastAsia="en-US"/>
        </w:rPr>
        <w:t xml:space="preserve">Use Times New Roman Font: </w:t>
      </w:r>
      <w:r w:rsidRPr="00BE551C">
        <w:rPr>
          <w:rFonts w:ascii="Times New Roman" w:hAnsi="Times New Roman"/>
          <w:caps/>
          <w:sz w:val="20"/>
          <w:szCs w:val="20"/>
          <w:lang w:val="en-US" w:eastAsia="en-US"/>
        </w:rPr>
        <w:t xml:space="preserve">12 pt, </w:t>
      </w:r>
      <w:r w:rsidRPr="00BE551C">
        <w:rPr>
          <w:rFonts w:ascii="Times New Roman" w:hAnsi="Times New Roman"/>
          <w:sz w:val="20"/>
          <w:szCs w:val="20"/>
          <w:lang w:val="en-US" w:eastAsia="en-US"/>
        </w:rPr>
        <w:t>Bold, Centered</w:t>
      </w:r>
      <w:r w:rsidRPr="00BE551C">
        <w:rPr>
          <w:rFonts w:ascii="Times New Roman" w:hAnsi="Times New Roman"/>
          <w:caps/>
          <w:sz w:val="20"/>
          <w:szCs w:val="20"/>
          <w:lang w:val="en-US" w:eastAsia="en-US"/>
        </w:rPr>
        <w:t>)</w:t>
      </w:r>
    </w:p>
    <w:p w14:paraId="5BA2848E" w14:textId="77777777" w:rsidR="00D97F34" w:rsidRPr="00075EA6" w:rsidRDefault="00D97F34" w:rsidP="00D97F34">
      <w:pPr>
        <w:pStyle w:val="Paragraph"/>
      </w:pPr>
      <w:r w:rsidRPr="00075EA6">
        <w:t>Equations should be centered with equation numbers on the right-hand</w:t>
      </w:r>
      <w:r>
        <w:t xml:space="preserve"> </w:t>
      </w:r>
      <w:r w:rsidRPr="00075EA6">
        <w:t xml:space="preserve">side (flush right). Achieving a </w:t>
      </w:r>
      <w:r>
        <w:t>pleasing</w:t>
      </w:r>
      <w:r w:rsidRPr="00075EA6">
        <w:t xml:space="preserve"> layout of equations can be tricky in Microsoft Word, so here are some tips. You can either:</w:t>
      </w:r>
    </w:p>
    <w:p w14:paraId="04C42EFB" w14:textId="77777777" w:rsidR="00D97F34" w:rsidRPr="00075EA6" w:rsidRDefault="00D97F34" w:rsidP="00D97F34">
      <w:pPr>
        <w:pStyle w:val="Paragraphnumbered"/>
        <w:numPr>
          <w:ilvl w:val="0"/>
          <w:numId w:val="9"/>
        </w:numPr>
      </w:pPr>
      <w:r w:rsidRPr="00075EA6">
        <w:t>Copy, paste</w:t>
      </w:r>
      <w:r>
        <w:t>,</w:t>
      </w:r>
      <w:r w:rsidRPr="00075EA6">
        <w:t xml:space="preserve"> and edit the </w:t>
      </w:r>
      <w:r>
        <w:t>s</w:t>
      </w:r>
      <w:r w:rsidRPr="00075EA6">
        <w:t xml:space="preserve">ample equation provided (recommended), or </w:t>
      </w:r>
    </w:p>
    <w:p w14:paraId="754AFC2B" w14:textId="77777777" w:rsidR="00D97F34" w:rsidRDefault="00D97F34" w:rsidP="00D97F34">
      <w:pPr>
        <w:pStyle w:val="Paragraphnumbered"/>
        <w:numPr>
          <w:ilvl w:val="0"/>
          <w:numId w:val="9"/>
        </w:numPr>
      </w:pPr>
      <w:r w:rsidRPr="00075EA6">
        <w:t>Manually insert an equation and equation number</w:t>
      </w:r>
    </w:p>
    <w:p w14:paraId="5131F327" w14:textId="77777777" w:rsidR="00D97F34" w:rsidRDefault="00D97F34" w:rsidP="00D97F34">
      <w:pPr>
        <w:pStyle w:val="Paragraphnumbered"/>
        <w:numPr>
          <w:ilvl w:val="0"/>
          <w:numId w:val="0"/>
        </w:numPr>
        <w:ind w:left="284"/>
      </w:pPr>
    </w:p>
    <w:p w14:paraId="491E56E3" w14:textId="77777777" w:rsidR="00D97F34" w:rsidRPr="001146DC" w:rsidRDefault="00D97F34" w:rsidP="00D97F34">
      <w:pPr>
        <w:pStyle w:val="Equation"/>
        <w:ind w:left="284"/>
      </w:pPr>
      <w:r>
        <w:tab/>
      </w:r>
      <w:r w:rsidRPr="005D49AF">
        <w:rPr>
          <w:position w:val="-26"/>
        </w:rPr>
        <w:object w:dxaOrig="3300" w:dyaOrig="580" w14:anchorId="3BDDD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29.25pt" o:ole="">
            <v:imagedata r:id="rId8" o:title=""/>
          </v:shape>
          <o:OLEObject Type="Embed" ProgID="Equation.3" ShapeID="_x0000_i1025" DrawAspect="Content" ObjectID="_1784068439" r:id="rId9"/>
        </w:object>
      </w:r>
      <w:r>
        <w:tab/>
      </w:r>
      <w:r>
        <w:fldChar w:fldCharType="begin"/>
      </w:r>
      <w:r>
        <w:instrText xml:space="preserve"> LISTNUM  Equations </w:instrText>
      </w:r>
      <w:r>
        <w:fldChar w:fldCharType="end"/>
      </w:r>
    </w:p>
    <w:p w14:paraId="519D34FF" w14:textId="77777777" w:rsidR="00D97F34" w:rsidRPr="00075EA6" w:rsidRDefault="00D97F34" w:rsidP="00D97F34">
      <w:pPr>
        <w:pStyle w:val="Paragraphnumbered"/>
        <w:numPr>
          <w:ilvl w:val="0"/>
          <w:numId w:val="0"/>
        </w:numPr>
        <w:ind w:left="644" w:hanging="360"/>
      </w:pPr>
    </w:p>
    <w:p w14:paraId="64BCB819" w14:textId="23979754" w:rsidR="00D97F34" w:rsidRPr="00D97F34" w:rsidRDefault="00D97F34" w:rsidP="00D97F34">
      <w:pPr>
        <w:keepNext/>
        <w:spacing w:before="240" w:after="240" w:line="240" w:lineRule="auto"/>
        <w:jc w:val="center"/>
        <w:outlineLvl w:val="0"/>
        <w:rPr>
          <w:rFonts w:ascii="Times New Roman" w:hAnsi="Times New Roman"/>
          <w:sz w:val="20"/>
          <w:szCs w:val="20"/>
          <w:lang w:val="en-US" w:eastAsia="en-US"/>
        </w:rPr>
      </w:pPr>
      <w:r w:rsidRPr="00D97F34">
        <w:rPr>
          <w:rFonts w:ascii="Times New Roman" w:hAnsi="Times New Roman"/>
          <w:b/>
          <w:caps/>
          <w:sz w:val="24"/>
          <w:szCs w:val="20"/>
          <w:lang w:val="en-US" w:eastAsia="en-US"/>
        </w:rPr>
        <w:t>CONCLUSION</w:t>
      </w:r>
      <w:r>
        <w:rPr>
          <w:rFonts w:ascii="Times New Roman" w:hAnsi="Times New Roman"/>
          <w:b/>
          <w:caps/>
          <w:sz w:val="24"/>
          <w:szCs w:val="20"/>
          <w:lang w:val="en-US" w:eastAsia="en-US"/>
        </w:rPr>
        <w:t xml:space="preserve"> </w:t>
      </w:r>
      <w:r w:rsidRPr="00D97F34">
        <w:rPr>
          <w:rFonts w:ascii="Times New Roman" w:hAnsi="Times New Roman"/>
          <w:b/>
          <w:caps/>
          <w:sz w:val="24"/>
          <w:szCs w:val="20"/>
          <w:lang w:val="en-US" w:eastAsia="en-US"/>
        </w:rPr>
        <w:t>(FIRST LEVEL HEADING)</w:t>
      </w:r>
      <w:r w:rsidRPr="00D97F34">
        <w:rPr>
          <w:rFonts w:ascii="Times New Roman" w:hAnsi="Times New Roman"/>
          <w:b/>
          <w:caps/>
          <w:sz w:val="24"/>
          <w:szCs w:val="20"/>
          <w:lang w:val="en-US" w:eastAsia="en-US"/>
        </w:rPr>
        <w:br/>
      </w:r>
      <w:r w:rsidRPr="00D97F34">
        <w:rPr>
          <w:rFonts w:ascii="Times New Roman" w:hAnsi="Times New Roman"/>
          <w:sz w:val="20"/>
          <w:szCs w:val="20"/>
          <w:lang w:val="en-US" w:eastAsia="en-US"/>
        </w:rPr>
        <w:t xml:space="preserve">(Use the Microsoft Word template style: </w:t>
      </w:r>
      <w:r w:rsidRPr="00D97F34">
        <w:rPr>
          <w:rFonts w:ascii="Times New Roman" w:hAnsi="Times New Roman"/>
          <w:i/>
          <w:iCs/>
          <w:sz w:val="20"/>
          <w:szCs w:val="20"/>
          <w:lang w:val="en-US" w:eastAsia="en-US"/>
        </w:rPr>
        <w:t>Heading 1</w:t>
      </w:r>
      <w:r w:rsidRPr="00D97F34">
        <w:rPr>
          <w:rFonts w:ascii="Times New Roman" w:hAnsi="Times New Roman"/>
          <w:sz w:val="20"/>
          <w:szCs w:val="20"/>
          <w:lang w:val="en-US" w:eastAsia="en-US"/>
        </w:rPr>
        <w:t>) or (Use Times New Roman Font: 12 pt, Bold, ALL CAPS, Centered)</w:t>
      </w:r>
    </w:p>
    <w:p w14:paraId="36EF8D78" w14:textId="77777777" w:rsidR="00D97F34" w:rsidRPr="00D97F34" w:rsidRDefault="00D97F34" w:rsidP="00D97F34">
      <w:pPr>
        <w:spacing w:after="0" w:line="240" w:lineRule="auto"/>
        <w:ind w:firstLine="284"/>
        <w:jc w:val="both"/>
        <w:rPr>
          <w:rFonts w:ascii="Times New Roman" w:hAnsi="Times New Roman"/>
          <w:sz w:val="20"/>
          <w:szCs w:val="20"/>
          <w:lang w:val="en-US" w:eastAsia="en-US"/>
        </w:rPr>
      </w:pPr>
      <w:r w:rsidRPr="00D97F34">
        <w:rPr>
          <w:rFonts w:ascii="Times New Roman" w:hAnsi="Times New Roman"/>
          <w:sz w:val="20"/>
          <w:szCs w:val="20"/>
          <w:lang w:val="en-US" w:eastAsia="en-US"/>
        </w:rPr>
        <w:t>In this section we welcome you to include a summary of the end results of your research. Font should be Times New Roman, 10 pt.</w:t>
      </w:r>
    </w:p>
    <w:p w14:paraId="1F130E23" w14:textId="175F84F3" w:rsidR="00D97F34" w:rsidRPr="00D97F34" w:rsidRDefault="00D97F34" w:rsidP="00D97F34">
      <w:pPr>
        <w:keepNext/>
        <w:spacing w:before="240" w:after="240" w:line="240" w:lineRule="auto"/>
        <w:jc w:val="center"/>
        <w:outlineLvl w:val="0"/>
        <w:rPr>
          <w:rFonts w:ascii="Times New Roman" w:hAnsi="Times New Roman"/>
          <w:b/>
          <w:caps/>
          <w:sz w:val="24"/>
          <w:szCs w:val="20"/>
          <w:lang w:val="en-US" w:eastAsia="en-US"/>
        </w:rPr>
      </w:pPr>
      <w:r w:rsidRPr="00D97F34">
        <w:rPr>
          <w:rFonts w:ascii="Times New Roman" w:hAnsi="Times New Roman"/>
          <w:b/>
          <w:caps/>
          <w:sz w:val="24"/>
          <w:szCs w:val="20"/>
          <w:lang w:val="en-US" w:eastAsia="en-US"/>
        </w:rPr>
        <w:t>Acknowledgments</w:t>
      </w:r>
      <w:r>
        <w:rPr>
          <w:rFonts w:ascii="Times New Roman" w:hAnsi="Times New Roman"/>
          <w:b/>
          <w:caps/>
          <w:sz w:val="24"/>
          <w:szCs w:val="20"/>
          <w:lang w:val="en-US" w:eastAsia="en-US"/>
        </w:rPr>
        <w:t xml:space="preserve"> </w:t>
      </w:r>
      <w:r w:rsidRPr="00D97F34">
        <w:rPr>
          <w:rFonts w:ascii="Times New Roman" w:hAnsi="Times New Roman"/>
          <w:b/>
          <w:caps/>
          <w:sz w:val="24"/>
          <w:szCs w:val="20"/>
          <w:lang w:val="en-US" w:eastAsia="en-US"/>
        </w:rPr>
        <w:t>(FIRST LEVEL HEADING)</w:t>
      </w:r>
      <w:r w:rsidRPr="00D97F34">
        <w:rPr>
          <w:rFonts w:ascii="Times New Roman" w:hAnsi="Times New Roman"/>
          <w:b/>
          <w:caps/>
          <w:sz w:val="24"/>
          <w:szCs w:val="20"/>
          <w:lang w:val="en-US" w:eastAsia="en-US"/>
        </w:rPr>
        <w:br/>
      </w:r>
      <w:r w:rsidRPr="00D97F34">
        <w:rPr>
          <w:rFonts w:ascii="Times New Roman" w:hAnsi="Times New Roman"/>
          <w:sz w:val="20"/>
          <w:szCs w:val="20"/>
          <w:lang w:val="en-US" w:eastAsia="en-US"/>
        </w:rPr>
        <w:t xml:space="preserve">(Use the Microsoft Word template style: </w:t>
      </w:r>
      <w:r w:rsidRPr="00D97F34">
        <w:rPr>
          <w:rFonts w:ascii="Times New Roman" w:hAnsi="Times New Roman"/>
          <w:i/>
          <w:iCs/>
          <w:sz w:val="20"/>
          <w:szCs w:val="20"/>
          <w:lang w:val="en-US" w:eastAsia="en-US"/>
        </w:rPr>
        <w:t>Heading 1</w:t>
      </w:r>
      <w:r w:rsidRPr="00D97F34">
        <w:rPr>
          <w:rFonts w:ascii="Times New Roman" w:hAnsi="Times New Roman"/>
          <w:sz w:val="20"/>
          <w:szCs w:val="20"/>
          <w:lang w:val="en-US" w:eastAsia="en-US"/>
        </w:rPr>
        <w:t>) or (Use Times New Roman Font: 12 pt, Bold, ALL CAPS, Centered)</w:t>
      </w:r>
    </w:p>
    <w:p w14:paraId="39120A84" w14:textId="77777777" w:rsidR="00D97F34" w:rsidRPr="00D97F34" w:rsidRDefault="00D97F34" w:rsidP="00D97F34">
      <w:pPr>
        <w:spacing w:after="0" w:line="240" w:lineRule="auto"/>
        <w:ind w:firstLine="284"/>
        <w:jc w:val="both"/>
        <w:rPr>
          <w:rFonts w:ascii="Times New Roman" w:hAnsi="Times New Roman"/>
          <w:sz w:val="20"/>
          <w:szCs w:val="20"/>
          <w:lang w:val="en-US" w:eastAsia="en-US"/>
        </w:rPr>
      </w:pPr>
      <w:r w:rsidRPr="00D97F34">
        <w:rPr>
          <w:rFonts w:ascii="Times New Roman" w:hAnsi="Times New Roman"/>
          <w:sz w:val="20"/>
          <w:szCs w:val="20"/>
          <w:lang w:val="en-US" w:eastAsia="en-US"/>
        </w:rPr>
        <w:t>If desired, in this section we welcome you to include thank your comments for those who have supported your research.  Font should be Times New Roman, 10 pt.</w:t>
      </w:r>
    </w:p>
    <w:p w14:paraId="6CBC7FB5" w14:textId="77777777" w:rsidR="00D97F34" w:rsidRDefault="00D97F34" w:rsidP="008C6020">
      <w:pPr>
        <w:widowControl w:val="0"/>
        <w:autoSpaceDE w:val="0"/>
        <w:autoSpaceDN w:val="0"/>
        <w:adjustRightInd w:val="0"/>
        <w:spacing w:after="0" w:line="240" w:lineRule="auto"/>
        <w:ind w:right="95" w:firstLine="284"/>
        <w:jc w:val="center"/>
        <w:rPr>
          <w:rFonts w:ascii="Times New Roman" w:hAnsi="Times New Roman"/>
          <w:b/>
          <w:bCs/>
          <w:spacing w:val="2"/>
          <w:w w:val="101"/>
          <w:sz w:val="24"/>
          <w:szCs w:val="24"/>
          <w:lang w:val="en-US"/>
        </w:rPr>
      </w:pPr>
    </w:p>
    <w:p w14:paraId="2E5B4772" w14:textId="467C22B0" w:rsidR="00D97F34" w:rsidRPr="00D97F34" w:rsidRDefault="00D97F34" w:rsidP="00D97F34">
      <w:pPr>
        <w:keepNext/>
        <w:spacing w:before="240" w:after="240" w:line="240" w:lineRule="auto"/>
        <w:jc w:val="center"/>
        <w:outlineLvl w:val="0"/>
        <w:rPr>
          <w:rFonts w:ascii="Times New Roman" w:hAnsi="Times New Roman"/>
          <w:sz w:val="20"/>
          <w:szCs w:val="20"/>
          <w:lang w:val="en-US" w:eastAsia="en-US"/>
        </w:rPr>
      </w:pPr>
      <w:r w:rsidRPr="00D97F34">
        <w:rPr>
          <w:rFonts w:ascii="Times New Roman" w:hAnsi="Times New Roman"/>
          <w:b/>
          <w:caps/>
          <w:sz w:val="24"/>
          <w:szCs w:val="20"/>
          <w:lang w:val="en-US" w:eastAsia="en-US"/>
        </w:rPr>
        <w:t>References</w:t>
      </w:r>
      <w:r>
        <w:rPr>
          <w:rFonts w:ascii="Times New Roman" w:hAnsi="Times New Roman"/>
          <w:b/>
          <w:caps/>
          <w:sz w:val="24"/>
          <w:szCs w:val="20"/>
          <w:lang w:val="en-US" w:eastAsia="en-US"/>
        </w:rPr>
        <w:t xml:space="preserve"> </w:t>
      </w:r>
      <w:r w:rsidRPr="00D97F34">
        <w:rPr>
          <w:rFonts w:ascii="Times New Roman" w:hAnsi="Times New Roman"/>
          <w:b/>
          <w:caps/>
          <w:sz w:val="24"/>
          <w:szCs w:val="20"/>
          <w:lang w:val="en-US" w:eastAsia="en-US"/>
        </w:rPr>
        <w:br/>
      </w:r>
      <w:r w:rsidRPr="00D97F34">
        <w:rPr>
          <w:rFonts w:ascii="Times New Roman" w:hAnsi="Times New Roman"/>
          <w:sz w:val="20"/>
          <w:szCs w:val="20"/>
          <w:lang w:val="en-US" w:eastAsia="en-US"/>
        </w:rPr>
        <w:t xml:space="preserve">(Use the Microsoft Word template style: </w:t>
      </w:r>
      <w:r w:rsidRPr="00D97F34">
        <w:rPr>
          <w:rFonts w:ascii="Times New Roman" w:hAnsi="Times New Roman"/>
          <w:i/>
          <w:iCs/>
          <w:sz w:val="20"/>
          <w:szCs w:val="20"/>
          <w:lang w:val="en-US" w:eastAsia="en-US"/>
        </w:rPr>
        <w:t>Heading 1</w:t>
      </w:r>
      <w:r w:rsidRPr="00D97F34">
        <w:rPr>
          <w:rFonts w:ascii="Times New Roman" w:hAnsi="Times New Roman"/>
          <w:sz w:val="20"/>
          <w:szCs w:val="20"/>
          <w:lang w:val="en-US" w:eastAsia="en-US"/>
        </w:rPr>
        <w:t>) or (Use Times New Roman Font: 12 pt, Bold, ALL CAPS, Centered)</w:t>
      </w:r>
    </w:p>
    <w:p w14:paraId="7ED09935" w14:textId="77777777" w:rsidR="00D97F34" w:rsidRPr="00D97F34" w:rsidRDefault="00D97F34" w:rsidP="00D97F34">
      <w:pPr>
        <w:spacing w:after="0" w:line="240" w:lineRule="auto"/>
        <w:ind w:firstLine="284"/>
        <w:jc w:val="both"/>
        <w:rPr>
          <w:rFonts w:ascii="Times New Roman" w:hAnsi="Times New Roman"/>
          <w:sz w:val="20"/>
          <w:szCs w:val="20"/>
          <w:lang w:val="en-US" w:eastAsia="en-US"/>
        </w:rPr>
      </w:pPr>
      <w:r w:rsidRPr="00D97F34">
        <w:rPr>
          <w:rFonts w:ascii="Times New Roman" w:hAnsi="Times New Roman"/>
          <w:sz w:val="20"/>
          <w:szCs w:val="20"/>
          <w:lang w:val="en-US" w:eastAsia="en-US"/>
        </w:rPr>
        <w:t>References should be numbered using Arabic numerals followed by a period (.) as shown below and should follow the format in the below examples.</w:t>
      </w:r>
    </w:p>
    <w:p w14:paraId="23927A52" w14:textId="77777777" w:rsidR="00D97F34" w:rsidRPr="00D97F34" w:rsidRDefault="00D97F34" w:rsidP="00D97F34">
      <w:pPr>
        <w:spacing w:after="0" w:line="240" w:lineRule="auto"/>
        <w:ind w:firstLine="284"/>
        <w:jc w:val="both"/>
        <w:rPr>
          <w:rFonts w:ascii="Times New Roman" w:hAnsi="Times New Roman"/>
          <w:sz w:val="20"/>
          <w:szCs w:val="20"/>
          <w:lang w:val="en-US" w:eastAsia="en-US"/>
        </w:rPr>
      </w:pPr>
    </w:p>
    <w:p w14:paraId="456B5D34" w14:textId="77777777" w:rsidR="00D97F34" w:rsidRPr="009C1F9D" w:rsidRDefault="00D97F34" w:rsidP="009C1F9D">
      <w:pPr>
        <w:pStyle w:val="ListParagraph"/>
        <w:numPr>
          <w:ilvl w:val="0"/>
          <w:numId w:val="15"/>
        </w:numPr>
        <w:spacing w:after="0" w:line="240" w:lineRule="auto"/>
        <w:jc w:val="both"/>
        <w:rPr>
          <w:rFonts w:ascii="Times New Roman" w:hAnsi="Times New Roman"/>
          <w:sz w:val="20"/>
          <w:szCs w:val="20"/>
          <w:lang w:val="en-US" w:eastAsia="en-US"/>
        </w:rPr>
      </w:pPr>
      <w:r w:rsidRPr="009C1F9D">
        <w:rPr>
          <w:rFonts w:ascii="Times New Roman" w:hAnsi="Times New Roman"/>
          <w:sz w:val="20"/>
          <w:szCs w:val="20"/>
          <w:lang w:val="en-US" w:eastAsia="en-US"/>
        </w:rPr>
        <w:t xml:space="preserve">M. P. Brown and K. Austin, </w:t>
      </w:r>
      <w:r w:rsidRPr="009C1F9D">
        <w:rPr>
          <w:rFonts w:ascii="Times New Roman" w:hAnsi="Times New Roman"/>
          <w:i/>
          <w:sz w:val="20"/>
          <w:szCs w:val="20"/>
          <w:lang w:val="en-US" w:eastAsia="en-US"/>
        </w:rPr>
        <w:t>The New Physique</w:t>
      </w:r>
      <w:r w:rsidRPr="009C1F9D">
        <w:rPr>
          <w:rFonts w:ascii="Times New Roman" w:hAnsi="Times New Roman"/>
          <w:sz w:val="20"/>
          <w:szCs w:val="20"/>
          <w:lang w:val="en-US" w:eastAsia="en-US"/>
        </w:rPr>
        <w:t xml:space="preserve"> (Publisher Name, Publisher City, 2005), pp. 25–30. </w:t>
      </w:r>
    </w:p>
    <w:p w14:paraId="42E35D52" w14:textId="77777777" w:rsidR="00D97F34" w:rsidRPr="009C1F9D" w:rsidRDefault="00D97F34" w:rsidP="009C1F9D">
      <w:pPr>
        <w:pStyle w:val="ListParagraph"/>
        <w:numPr>
          <w:ilvl w:val="0"/>
          <w:numId w:val="15"/>
        </w:numPr>
        <w:spacing w:after="0" w:line="240" w:lineRule="auto"/>
        <w:jc w:val="both"/>
        <w:rPr>
          <w:rFonts w:ascii="Times New Roman" w:hAnsi="Times New Roman"/>
          <w:sz w:val="20"/>
          <w:szCs w:val="20"/>
          <w:lang w:val="en-US" w:eastAsia="en-US"/>
        </w:rPr>
      </w:pPr>
      <w:r w:rsidRPr="009C1F9D">
        <w:rPr>
          <w:rFonts w:ascii="Times New Roman" w:hAnsi="Times New Roman"/>
          <w:sz w:val="20"/>
          <w:szCs w:val="20"/>
          <w:lang w:val="en-US" w:eastAsia="en-US"/>
        </w:rPr>
        <w:t xml:space="preserve">M. P. Brown and K. Austin, Appl. Phys. Letters </w:t>
      </w:r>
      <w:r w:rsidRPr="009C1F9D">
        <w:rPr>
          <w:rFonts w:ascii="Times New Roman" w:hAnsi="Times New Roman"/>
          <w:b/>
          <w:sz w:val="20"/>
          <w:szCs w:val="20"/>
          <w:lang w:val="en-US" w:eastAsia="en-US"/>
        </w:rPr>
        <w:t>85</w:t>
      </w:r>
      <w:r w:rsidRPr="009C1F9D">
        <w:rPr>
          <w:rFonts w:ascii="Times New Roman" w:hAnsi="Times New Roman"/>
          <w:sz w:val="20"/>
          <w:szCs w:val="20"/>
          <w:lang w:val="en-US" w:eastAsia="en-US"/>
        </w:rPr>
        <w:t>, 2503–2504 (2004).</w:t>
      </w:r>
    </w:p>
    <w:p w14:paraId="277FECEE" w14:textId="77777777" w:rsidR="00D97F34" w:rsidRPr="009C1F9D" w:rsidRDefault="00D97F34" w:rsidP="009C1F9D">
      <w:pPr>
        <w:pStyle w:val="ListParagraph"/>
        <w:numPr>
          <w:ilvl w:val="0"/>
          <w:numId w:val="15"/>
        </w:numPr>
        <w:spacing w:after="0" w:line="240" w:lineRule="auto"/>
        <w:jc w:val="both"/>
        <w:rPr>
          <w:rFonts w:ascii="Times New Roman" w:hAnsi="Times New Roman"/>
          <w:sz w:val="20"/>
          <w:szCs w:val="20"/>
          <w:lang w:val="en-US" w:eastAsia="en-US"/>
        </w:rPr>
      </w:pPr>
      <w:r w:rsidRPr="009C1F9D">
        <w:rPr>
          <w:rFonts w:ascii="Times New Roman" w:hAnsi="Times New Roman"/>
          <w:sz w:val="20"/>
          <w:szCs w:val="20"/>
          <w:lang w:val="en-US" w:eastAsia="en-US"/>
        </w:rPr>
        <w:t xml:space="preserve">R. T. Wang, “Title of Chapter,” in </w:t>
      </w:r>
      <w:r w:rsidRPr="009C1F9D">
        <w:rPr>
          <w:rFonts w:ascii="Times New Roman" w:hAnsi="Times New Roman"/>
          <w:i/>
          <w:sz w:val="20"/>
          <w:szCs w:val="20"/>
          <w:lang w:val="en-US" w:eastAsia="en-US"/>
        </w:rPr>
        <w:t>Classic Physiques</w:t>
      </w:r>
      <w:r w:rsidRPr="009C1F9D">
        <w:rPr>
          <w:rFonts w:ascii="Times New Roman" w:hAnsi="Times New Roman"/>
          <w:sz w:val="20"/>
          <w:szCs w:val="20"/>
          <w:lang w:val="en-US" w:eastAsia="en-US"/>
        </w:rPr>
        <w:t>, edited by R. B. Hamil (Publisher Name, Publisher City, 1999), pp. 212–213.</w:t>
      </w:r>
    </w:p>
    <w:p w14:paraId="71B12DA4" w14:textId="77777777" w:rsidR="00D97F34" w:rsidRPr="009C1F9D" w:rsidRDefault="00D97F34" w:rsidP="009C1F9D">
      <w:pPr>
        <w:pStyle w:val="ListParagraph"/>
        <w:numPr>
          <w:ilvl w:val="0"/>
          <w:numId w:val="15"/>
        </w:numPr>
        <w:spacing w:after="0" w:line="240" w:lineRule="auto"/>
        <w:jc w:val="both"/>
        <w:rPr>
          <w:rFonts w:ascii="Times New Roman" w:hAnsi="Times New Roman"/>
          <w:sz w:val="20"/>
          <w:szCs w:val="20"/>
          <w:lang w:val="en-US" w:eastAsia="en-US"/>
        </w:rPr>
      </w:pPr>
      <w:r w:rsidRPr="009C1F9D">
        <w:rPr>
          <w:rFonts w:ascii="Times New Roman" w:hAnsi="Times New Roman"/>
          <w:sz w:val="20"/>
          <w:szCs w:val="20"/>
          <w:lang w:val="en-US" w:eastAsia="en-US"/>
        </w:rPr>
        <w:t xml:space="preserve">C. D. Smith and E. F. Jones, “Load-cycling in cubic press,” in </w:t>
      </w:r>
      <w:r w:rsidRPr="009C1F9D">
        <w:rPr>
          <w:rFonts w:ascii="Times New Roman" w:hAnsi="Times New Roman"/>
          <w:i/>
          <w:sz w:val="20"/>
          <w:szCs w:val="20"/>
          <w:lang w:val="en-US" w:eastAsia="en-US"/>
        </w:rPr>
        <w:t>Shock Compression of Condensed Matter-2001</w:t>
      </w:r>
      <w:r w:rsidRPr="009C1F9D">
        <w:rPr>
          <w:rFonts w:ascii="Times New Roman" w:hAnsi="Times New Roman"/>
          <w:sz w:val="20"/>
          <w:szCs w:val="20"/>
          <w:lang w:val="en-US" w:eastAsia="en-US"/>
        </w:rPr>
        <w:t xml:space="preserve">, AIP Conference Proceedings 620, edited by M. D. Furnish </w:t>
      </w:r>
      <w:r w:rsidRPr="009C1F9D">
        <w:rPr>
          <w:rFonts w:ascii="Times New Roman" w:hAnsi="Times New Roman"/>
          <w:i/>
          <w:sz w:val="20"/>
          <w:szCs w:val="20"/>
          <w:lang w:val="en-US" w:eastAsia="en-US"/>
        </w:rPr>
        <w:t>et al</w:t>
      </w:r>
      <w:r w:rsidRPr="009C1F9D">
        <w:rPr>
          <w:rFonts w:ascii="Times New Roman" w:hAnsi="Times New Roman"/>
          <w:sz w:val="20"/>
          <w:szCs w:val="20"/>
          <w:lang w:val="en-US" w:eastAsia="en-US"/>
        </w:rPr>
        <w:t>. (AIP Publishing, Melville, NY, 2002), pp. 651–654.</w:t>
      </w:r>
    </w:p>
    <w:p w14:paraId="3530DBD9" w14:textId="77777777" w:rsidR="00D97F34" w:rsidRPr="009C1F9D" w:rsidRDefault="00D97F34" w:rsidP="009C1F9D">
      <w:pPr>
        <w:pStyle w:val="ListParagraph"/>
        <w:numPr>
          <w:ilvl w:val="0"/>
          <w:numId w:val="15"/>
        </w:numPr>
        <w:spacing w:after="0" w:line="240" w:lineRule="auto"/>
        <w:jc w:val="both"/>
        <w:rPr>
          <w:rFonts w:ascii="Times New Roman" w:hAnsi="Times New Roman"/>
          <w:sz w:val="20"/>
          <w:szCs w:val="20"/>
          <w:lang w:val="en-US" w:eastAsia="en-US"/>
        </w:rPr>
      </w:pPr>
      <w:r w:rsidRPr="009C1F9D">
        <w:rPr>
          <w:rFonts w:ascii="Times New Roman" w:hAnsi="Times New Roman"/>
          <w:sz w:val="20"/>
          <w:szCs w:val="20"/>
          <w:lang w:val="en-US" w:eastAsia="en-US"/>
        </w:rPr>
        <w:t>B. R. Jackson and T. Pitman, U.S. Patent No. 6,345,224 (8 July 2004)</w:t>
      </w:r>
    </w:p>
    <w:p w14:paraId="461B0CC8" w14:textId="77777777" w:rsidR="009C1F9D" w:rsidRPr="009C1F9D" w:rsidRDefault="00D97F34" w:rsidP="009C1F9D">
      <w:pPr>
        <w:pStyle w:val="ListParagraph"/>
        <w:widowControl w:val="0"/>
        <w:numPr>
          <w:ilvl w:val="0"/>
          <w:numId w:val="15"/>
        </w:numPr>
        <w:autoSpaceDE w:val="0"/>
        <w:autoSpaceDN w:val="0"/>
        <w:adjustRightInd w:val="0"/>
        <w:spacing w:after="0" w:line="240" w:lineRule="auto"/>
        <w:ind w:right="95"/>
        <w:jc w:val="both"/>
        <w:rPr>
          <w:rFonts w:ascii="Times New Roman" w:hAnsi="Times New Roman"/>
          <w:sz w:val="20"/>
          <w:szCs w:val="20"/>
        </w:rPr>
      </w:pPr>
      <w:r w:rsidRPr="009C1F9D">
        <w:rPr>
          <w:rFonts w:ascii="Times New Roman" w:hAnsi="Times New Roman"/>
          <w:sz w:val="20"/>
          <w:szCs w:val="20"/>
          <w:lang w:val="en-US" w:eastAsia="en-US"/>
        </w:rPr>
        <w:t>D. L. Davids, “Recovery effects in binary aluminum alloys,” Ph.D. thesis, Harvard University, 1998.</w:t>
      </w:r>
    </w:p>
    <w:p w14:paraId="6E0F79B4" w14:textId="1E79EA37" w:rsidR="00BB6228" w:rsidRPr="009C1F9D" w:rsidRDefault="00D97F34" w:rsidP="009C1F9D">
      <w:pPr>
        <w:pStyle w:val="ListParagraph"/>
        <w:widowControl w:val="0"/>
        <w:numPr>
          <w:ilvl w:val="0"/>
          <w:numId w:val="15"/>
        </w:numPr>
        <w:autoSpaceDE w:val="0"/>
        <w:autoSpaceDN w:val="0"/>
        <w:adjustRightInd w:val="0"/>
        <w:spacing w:after="0" w:line="240" w:lineRule="auto"/>
        <w:ind w:right="95"/>
        <w:jc w:val="both"/>
        <w:rPr>
          <w:rFonts w:ascii="Times New Roman" w:hAnsi="Times New Roman"/>
          <w:sz w:val="20"/>
          <w:szCs w:val="20"/>
        </w:rPr>
      </w:pPr>
      <w:r w:rsidRPr="009C1F9D">
        <w:rPr>
          <w:rFonts w:ascii="Times New Roman" w:hAnsi="Times New Roman"/>
          <w:sz w:val="24"/>
          <w:szCs w:val="20"/>
          <w:lang w:val="en-US" w:eastAsia="en-US"/>
        </w:rPr>
        <w:t>R. C. Mikkelson (private communication).</w:t>
      </w:r>
      <w:r w:rsidRPr="009C1F9D">
        <w:rPr>
          <w:rFonts w:ascii="Times New Roman" w:hAnsi="Times New Roman"/>
          <w:sz w:val="20"/>
          <w:szCs w:val="20"/>
        </w:rPr>
        <w:t xml:space="preserve"> </w:t>
      </w:r>
    </w:p>
    <w:p w14:paraId="112479CB" w14:textId="77777777" w:rsidR="009C1F9D" w:rsidRDefault="009C1F9D" w:rsidP="00D97F34">
      <w:pPr>
        <w:widowControl w:val="0"/>
        <w:autoSpaceDE w:val="0"/>
        <w:autoSpaceDN w:val="0"/>
        <w:adjustRightInd w:val="0"/>
        <w:spacing w:after="0" w:line="240" w:lineRule="auto"/>
        <w:ind w:right="95" w:firstLine="284"/>
        <w:jc w:val="center"/>
        <w:rPr>
          <w:rFonts w:ascii="Times New Roman" w:hAnsi="Times New Roman"/>
          <w:sz w:val="20"/>
          <w:szCs w:val="20"/>
        </w:rPr>
      </w:pPr>
    </w:p>
    <w:p w14:paraId="16C9FEF6" w14:textId="77777777" w:rsidR="009C1F9D" w:rsidRDefault="009C1F9D">
      <w:pPr>
        <w:spacing w:after="160" w:line="259" w:lineRule="auto"/>
        <w:rPr>
          <w:rFonts w:ascii="Times New Roman" w:hAnsi="Times New Roman"/>
          <w:b/>
          <w:iCs/>
          <w:sz w:val="24"/>
          <w:szCs w:val="20"/>
          <w:lang w:val="en-US" w:eastAsia="en-US"/>
        </w:rPr>
      </w:pPr>
      <w:r>
        <w:rPr>
          <w:b/>
          <w:iCs/>
          <w:sz w:val="24"/>
        </w:rPr>
        <w:br w:type="page"/>
      </w:r>
    </w:p>
    <w:p w14:paraId="2226CF78" w14:textId="14082040" w:rsidR="009C1F9D" w:rsidRPr="003B0050" w:rsidRDefault="009C1F9D" w:rsidP="009C1F9D">
      <w:pPr>
        <w:pStyle w:val="Paragraph"/>
        <w:ind w:firstLine="0"/>
        <w:rPr>
          <w:b/>
          <w:iCs/>
          <w:sz w:val="24"/>
        </w:rPr>
      </w:pPr>
      <w:r w:rsidRPr="003B0050">
        <w:rPr>
          <w:b/>
          <w:iCs/>
          <w:sz w:val="24"/>
        </w:rPr>
        <w:lastRenderedPageBreak/>
        <w:t xml:space="preserve">Summary: Points to Consider when Preparing Your Paper </w:t>
      </w:r>
    </w:p>
    <w:p w14:paraId="45F1E97D" w14:textId="77777777" w:rsidR="009C1F9D" w:rsidRDefault="009C1F9D" w:rsidP="009C1F9D">
      <w:pPr>
        <w:pStyle w:val="Paragraphbulleted"/>
        <w:numPr>
          <w:ilvl w:val="0"/>
          <w:numId w:val="0"/>
        </w:numPr>
        <w:ind w:left="426" w:hanging="426"/>
      </w:pPr>
    </w:p>
    <w:p w14:paraId="6C973168" w14:textId="77777777" w:rsidR="009C1F9D" w:rsidRPr="009C1F9D" w:rsidRDefault="009C1F9D" w:rsidP="009C1F9D">
      <w:pPr>
        <w:pStyle w:val="Paragraph"/>
        <w:numPr>
          <w:ilvl w:val="0"/>
          <w:numId w:val="14"/>
        </w:numPr>
        <w:rPr>
          <w:iCs/>
        </w:rPr>
      </w:pPr>
      <w:r w:rsidRPr="009C1F9D">
        <w:rPr>
          <w:iCs/>
        </w:rPr>
        <w:t>Articles should use 8.5 x 11 single column template.</w:t>
      </w:r>
    </w:p>
    <w:p w14:paraId="7F4F4A2E" w14:textId="77777777" w:rsidR="009C1F9D" w:rsidRPr="009C1F9D" w:rsidRDefault="009C1F9D" w:rsidP="009C1F9D">
      <w:pPr>
        <w:pStyle w:val="Paragraph"/>
        <w:numPr>
          <w:ilvl w:val="0"/>
          <w:numId w:val="14"/>
        </w:numPr>
        <w:rPr>
          <w:iCs/>
        </w:rPr>
      </w:pPr>
      <w:r w:rsidRPr="009C1F9D">
        <w:rPr>
          <w:iCs/>
        </w:rPr>
        <w:t>Use Times New Roman font, the point size will vary by section.</w:t>
      </w:r>
    </w:p>
    <w:p w14:paraId="1FDDBA07" w14:textId="5E46D053" w:rsidR="009C1F9D" w:rsidRPr="009C1F9D" w:rsidRDefault="009C1F9D" w:rsidP="009C1F9D">
      <w:pPr>
        <w:pStyle w:val="Paragraph"/>
        <w:numPr>
          <w:ilvl w:val="0"/>
          <w:numId w:val="14"/>
        </w:numPr>
        <w:rPr>
          <w:iCs/>
        </w:rPr>
      </w:pPr>
      <w:r w:rsidRPr="009C1F9D">
        <w:rPr>
          <w:iCs/>
          <w:u w:val="single"/>
        </w:rPr>
        <w:t>DO NOT</w:t>
      </w:r>
      <w:r w:rsidRPr="009C1F9D">
        <w:rPr>
          <w:iCs/>
        </w:rPr>
        <w:t xml:space="preserve"> alter the margins of our templates. Paper size should be 8 ½ x 11 with margins set </w:t>
      </w:r>
      <w:proofErr w:type="spellStart"/>
      <w:proofErr w:type="gramStart"/>
      <w:r w:rsidRPr="009C1F9D">
        <w:rPr>
          <w:iCs/>
        </w:rPr>
        <w:t>at:Top</w:t>
      </w:r>
      <w:proofErr w:type="spellEnd"/>
      <w:proofErr w:type="gramEnd"/>
      <w:r w:rsidRPr="009C1F9D">
        <w:rPr>
          <w:iCs/>
        </w:rPr>
        <w:t xml:space="preserve"> – 1 inch, Left – 1 inch, Bottom – 1.18 inch, Right – 1 inch.</w:t>
      </w:r>
    </w:p>
    <w:p w14:paraId="18366700" w14:textId="77777777" w:rsidR="009C1F9D" w:rsidRPr="009C1F9D" w:rsidRDefault="009C1F9D" w:rsidP="009C1F9D">
      <w:pPr>
        <w:pStyle w:val="Paragraph"/>
        <w:numPr>
          <w:ilvl w:val="0"/>
          <w:numId w:val="14"/>
        </w:numPr>
        <w:rPr>
          <w:iCs/>
        </w:rPr>
      </w:pPr>
      <w:r w:rsidRPr="009C1F9D">
        <w:rPr>
          <w:iCs/>
          <w:u w:val="single"/>
        </w:rPr>
        <w:t>DO NOT</w:t>
      </w:r>
      <w:r w:rsidRPr="009C1F9D">
        <w:rPr>
          <w:iCs/>
        </w:rPr>
        <w:t xml:space="preserve"> display the title in ALL CAPS (initial cap only)</w:t>
      </w:r>
    </w:p>
    <w:p w14:paraId="7A1A3746" w14:textId="5DB2D964" w:rsidR="009C1F9D" w:rsidRPr="009C1F9D" w:rsidRDefault="009C1F9D" w:rsidP="009C1F9D">
      <w:pPr>
        <w:pStyle w:val="Paragraph"/>
        <w:numPr>
          <w:ilvl w:val="0"/>
          <w:numId w:val="14"/>
        </w:numPr>
        <w:rPr>
          <w:i/>
          <w:iCs/>
        </w:rPr>
      </w:pPr>
      <w:r w:rsidRPr="009C1F9D">
        <w:rPr>
          <w:bCs/>
          <w:u w:val="single"/>
        </w:rPr>
        <w:t>DO NOT</w:t>
      </w:r>
      <w:r w:rsidRPr="009C1F9D">
        <w:rPr>
          <w:bCs/>
        </w:rPr>
        <w:t xml:space="preserve"> include any headers, footers, or page numbers in your document.</w:t>
      </w:r>
      <w:r w:rsidRPr="009C1F9D">
        <w:t xml:space="preserve"> </w:t>
      </w:r>
    </w:p>
    <w:p w14:paraId="5AC7752F" w14:textId="77777777" w:rsidR="009C1F9D" w:rsidRPr="009C1F9D" w:rsidRDefault="009C1F9D" w:rsidP="009C1F9D">
      <w:pPr>
        <w:pStyle w:val="Paragraph"/>
        <w:numPr>
          <w:ilvl w:val="0"/>
          <w:numId w:val="14"/>
        </w:numPr>
        <w:rPr>
          <w:iCs/>
        </w:rPr>
      </w:pPr>
      <w:r w:rsidRPr="009C1F9D">
        <w:rPr>
          <w:iCs/>
        </w:rPr>
        <w:t>Line spacing should be 1.0 throughout the entire article, no double spacing.</w:t>
      </w:r>
    </w:p>
    <w:p w14:paraId="30E7768C" w14:textId="77777777" w:rsidR="009C1F9D" w:rsidRPr="009C1F9D" w:rsidRDefault="009C1F9D" w:rsidP="009C1F9D">
      <w:pPr>
        <w:pStyle w:val="Paragraph"/>
        <w:numPr>
          <w:ilvl w:val="0"/>
          <w:numId w:val="14"/>
        </w:numPr>
        <w:rPr>
          <w:iCs/>
        </w:rPr>
      </w:pPr>
      <w:r w:rsidRPr="009C1F9D">
        <w:rPr>
          <w:iCs/>
        </w:rPr>
        <w:t>Make sure all author affiliation associations are correct.  This means author vs. affiliation and author vs. email address.  If there is only one affiliation for all authors, association is not needed.  Author names should be listed in First name Surname format.</w:t>
      </w:r>
    </w:p>
    <w:p w14:paraId="3ABBB6F8" w14:textId="77777777" w:rsidR="009C1F9D" w:rsidRPr="009C1F9D" w:rsidRDefault="009C1F9D" w:rsidP="009C1F9D">
      <w:pPr>
        <w:pStyle w:val="Paragraph"/>
        <w:numPr>
          <w:ilvl w:val="0"/>
          <w:numId w:val="14"/>
        </w:numPr>
        <w:rPr>
          <w:iCs/>
        </w:rPr>
      </w:pPr>
      <w:r w:rsidRPr="009C1F9D">
        <w:rPr>
          <w:iCs/>
        </w:rPr>
        <w:t>Use clear, legible graphics and diagrams. Readers of your paper will be grateful. If they cannot read it, they are unlikely to cite it.</w:t>
      </w:r>
    </w:p>
    <w:p w14:paraId="4E672754" w14:textId="77777777" w:rsidR="009C1F9D" w:rsidRPr="009C1F9D" w:rsidRDefault="009C1F9D" w:rsidP="009C1F9D">
      <w:pPr>
        <w:pStyle w:val="ListParagraph"/>
        <w:numPr>
          <w:ilvl w:val="0"/>
          <w:numId w:val="14"/>
        </w:numPr>
        <w:spacing w:after="0" w:line="240" w:lineRule="auto"/>
        <w:rPr>
          <w:rFonts w:ascii="Times New Roman" w:hAnsi="Times New Roman"/>
          <w:iCs/>
          <w:sz w:val="20"/>
        </w:rPr>
      </w:pPr>
      <w:r w:rsidRPr="009C1F9D">
        <w:rPr>
          <w:rFonts w:ascii="Times New Roman" w:hAnsi="Times New Roman"/>
          <w:iCs/>
          <w:sz w:val="20"/>
          <w:u w:val="single"/>
        </w:rPr>
        <w:t>DO NOT</w:t>
      </w:r>
      <w:r w:rsidRPr="009C1F9D">
        <w:rPr>
          <w:rFonts w:ascii="Times New Roman" w:hAnsi="Times New Roman"/>
          <w:iCs/>
          <w:sz w:val="20"/>
        </w:rPr>
        <w:t xml:space="preserve"> use copyrighted material without permission. Papers using copyrighted material without appropriate permission and acknowledgment will be excluded from the proceedings.</w:t>
      </w:r>
    </w:p>
    <w:p w14:paraId="665C962F" w14:textId="77777777" w:rsidR="009C1F9D" w:rsidRPr="009C1F9D" w:rsidRDefault="009C1F9D" w:rsidP="009C1F9D">
      <w:pPr>
        <w:pStyle w:val="ListParagraph"/>
        <w:numPr>
          <w:ilvl w:val="0"/>
          <w:numId w:val="14"/>
        </w:numPr>
        <w:spacing w:after="0" w:line="240" w:lineRule="auto"/>
        <w:rPr>
          <w:rFonts w:ascii="Times New Roman" w:hAnsi="Times New Roman"/>
          <w:iCs/>
          <w:sz w:val="20"/>
        </w:rPr>
      </w:pPr>
      <w:r w:rsidRPr="009C1F9D">
        <w:rPr>
          <w:rFonts w:ascii="Times New Roman" w:hAnsi="Times New Roman"/>
          <w:iCs/>
          <w:sz w:val="20"/>
        </w:rPr>
        <w:t>No 1-page papers please. 1-page, abstract-only contributions are not acceptable and will be excluded from the proceedings.</w:t>
      </w:r>
    </w:p>
    <w:p w14:paraId="08FA6CA8" w14:textId="77777777" w:rsidR="009C1F9D" w:rsidRPr="009C1F9D" w:rsidRDefault="009C1F9D" w:rsidP="009C1F9D">
      <w:pPr>
        <w:pStyle w:val="Paragraph"/>
        <w:numPr>
          <w:ilvl w:val="0"/>
          <w:numId w:val="14"/>
        </w:numPr>
        <w:rPr>
          <w:iCs/>
        </w:rPr>
      </w:pPr>
      <w:r w:rsidRPr="009C1F9D">
        <w:rPr>
          <w:iCs/>
        </w:rPr>
        <w:t>Prepare and format references with care. References should be numbered using Arabic numerals followed by a period (.).</w:t>
      </w:r>
    </w:p>
    <w:p w14:paraId="0896F44C" w14:textId="77777777" w:rsidR="009C1F9D" w:rsidRDefault="009C1F9D" w:rsidP="00D97F34">
      <w:pPr>
        <w:widowControl w:val="0"/>
        <w:autoSpaceDE w:val="0"/>
        <w:autoSpaceDN w:val="0"/>
        <w:adjustRightInd w:val="0"/>
        <w:spacing w:after="0" w:line="240" w:lineRule="auto"/>
        <w:ind w:right="95" w:firstLine="284"/>
        <w:jc w:val="center"/>
        <w:rPr>
          <w:rFonts w:ascii="Times New Roman" w:hAnsi="Times New Roman"/>
          <w:sz w:val="20"/>
          <w:szCs w:val="20"/>
        </w:rPr>
      </w:pPr>
    </w:p>
    <w:sectPr w:rsidR="009C1F9D" w:rsidSect="00DF208A">
      <w:pgSz w:w="12240" w:h="15840" w:code="1"/>
      <w:pgMar w:top="1440" w:right="1440" w:bottom="170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16174"/>
    <w:multiLevelType w:val="hybridMultilevel"/>
    <w:tmpl w:val="AA749066"/>
    <w:lvl w:ilvl="0" w:tplc="48E4BEB4">
      <w:start w:val="1"/>
      <w:numFmt w:val="lowerLetter"/>
      <w:lvlText w:val="(%1)"/>
      <w:lvlJc w:val="left"/>
      <w:pPr>
        <w:ind w:left="2339" w:hanging="360"/>
      </w:pPr>
      <w:rPr>
        <w:rFonts w:hint="default"/>
      </w:rPr>
    </w:lvl>
    <w:lvl w:ilvl="1" w:tplc="04210019" w:tentative="1">
      <w:start w:val="1"/>
      <w:numFmt w:val="lowerLetter"/>
      <w:lvlText w:val="%2."/>
      <w:lvlJc w:val="left"/>
      <w:pPr>
        <w:ind w:left="3059" w:hanging="360"/>
      </w:pPr>
    </w:lvl>
    <w:lvl w:ilvl="2" w:tplc="0421001B" w:tentative="1">
      <w:start w:val="1"/>
      <w:numFmt w:val="lowerRoman"/>
      <w:lvlText w:val="%3."/>
      <w:lvlJc w:val="right"/>
      <w:pPr>
        <w:ind w:left="3779" w:hanging="180"/>
      </w:pPr>
    </w:lvl>
    <w:lvl w:ilvl="3" w:tplc="0421000F" w:tentative="1">
      <w:start w:val="1"/>
      <w:numFmt w:val="decimal"/>
      <w:lvlText w:val="%4."/>
      <w:lvlJc w:val="left"/>
      <w:pPr>
        <w:ind w:left="4499" w:hanging="360"/>
      </w:pPr>
    </w:lvl>
    <w:lvl w:ilvl="4" w:tplc="04210019" w:tentative="1">
      <w:start w:val="1"/>
      <w:numFmt w:val="lowerLetter"/>
      <w:lvlText w:val="%5."/>
      <w:lvlJc w:val="left"/>
      <w:pPr>
        <w:ind w:left="5219" w:hanging="360"/>
      </w:pPr>
    </w:lvl>
    <w:lvl w:ilvl="5" w:tplc="0421001B" w:tentative="1">
      <w:start w:val="1"/>
      <w:numFmt w:val="lowerRoman"/>
      <w:lvlText w:val="%6."/>
      <w:lvlJc w:val="right"/>
      <w:pPr>
        <w:ind w:left="5939" w:hanging="180"/>
      </w:pPr>
    </w:lvl>
    <w:lvl w:ilvl="6" w:tplc="0421000F" w:tentative="1">
      <w:start w:val="1"/>
      <w:numFmt w:val="decimal"/>
      <w:lvlText w:val="%7."/>
      <w:lvlJc w:val="left"/>
      <w:pPr>
        <w:ind w:left="6659" w:hanging="360"/>
      </w:pPr>
    </w:lvl>
    <w:lvl w:ilvl="7" w:tplc="04210019" w:tentative="1">
      <w:start w:val="1"/>
      <w:numFmt w:val="lowerLetter"/>
      <w:lvlText w:val="%8."/>
      <w:lvlJc w:val="left"/>
      <w:pPr>
        <w:ind w:left="7379" w:hanging="360"/>
      </w:pPr>
    </w:lvl>
    <w:lvl w:ilvl="8" w:tplc="0421001B" w:tentative="1">
      <w:start w:val="1"/>
      <w:numFmt w:val="lowerRoman"/>
      <w:lvlText w:val="%9."/>
      <w:lvlJc w:val="right"/>
      <w:pPr>
        <w:ind w:left="8099" w:hanging="180"/>
      </w:pPr>
    </w:lvl>
  </w:abstractNum>
  <w:abstractNum w:abstractNumId="2" w15:restartNumberingAfterBreak="0">
    <w:nsid w:val="15DF2E96"/>
    <w:multiLevelType w:val="hybridMultilevel"/>
    <w:tmpl w:val="4DCACC84"/>
    <w:lvl w:ilvl="0" w:tplc="0008B0C4">
      <w:start w:val="1"/>
      <w:numFmt w:val="decimal"/>
      <w:lvlText w:val="%1-"/>
      <w:lvlJc w:val="left"/>
      <w:pPr>
        <w:ind w:left="644" w:hanging="360"/>
      </w:pPr>
      <w:rPr>
        <w:rFonts w:hint="default"/>
        <w:b/>
        <w:i w:val="0"/>
        <w:u w:val="single"/>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CF1771E"/>
    <w:multiLevelType w:val="hybridMultilevel"/>
    <w:tmpl w:val="9990B484"/>
    <w:lvl w:ilvl="0" w:tplc="E118DC86">
      <w:start w:val="1"/>
      <w:numFmt w:val="lowerLetter"/>
      <w:lvlText w:val="(%1)"/>
      <w:lvlJc w:val="left"/>
      <w:pPr>
        <w:ind w:left="2520" w:hanging="360"/>
      </w:pPr>
      <w:rPr>
        <w:rFonts w:hint="default"/>
      </w:r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4" w15:restartNumberingAfterBreak="0">
    <w:nsid w:val="1FFB2AD1"/>
    <w:multiLevelType w:val="hybridMultilevel"/>
    <w:tmpl w:val="A71A4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404A95"/>
    <w:multiLevelType w:val="hybridMultilevel"/>
    <w:tmpl w:val="92CE8186"/>
    <w:lvl w:ilvl="0" w:tplc="72661724">
      <w:start w:val="1"/>
      <w:numFmt w:val="bullet"/>
      <w:pStyle w:val="Paragraphbulleted"/>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4EF41C3B"/>
    <w:multiLevelType w:val="hybridMultilevel"/>
    <w:tmpl w:val="65ACF048"/>
    <w:lvl w:ilvl="0" w:tplc="FB6276B4">
      <w:start w:val="1"/>
      <w:numFmt w:val="lowerLetter"/>
      <w:lvlText w:val="%1)"/>
      <w:lvlJc w:val="left"/>
      <w:pPr>
        <w:ind w:left="3210" w:hanging="360"/>
      </w:pPr>
      <w:rPr>
        <w:rFonts w:hint="default"/>
      </w:rPr>
    </w:lvl>
    <w:lvl w:ilvl="1" w:tplc="04090019" w:tentative="1">
      <w:start w:val="1"/>
      <w:numFmt w:val="lowerLetter"/>
      <w:lvlText w:val="%2."/>
      <w:lvlJc w:val="left"/>
      <w:pPr>
        <w:ind w:left="3930" w:hanging="360"/>
      </w:pPr>
    </w:lvl>
    <w:lvl w:ilvl="2" w:tplc="0409001B" w:tentative="1">
      <w:start w:val="1"/>
      <w:numFmt w:val="lowerRoman"/>
      <w:lvlText w:val="%3."/>
      <w:lvlJc w:val="right"/>
      <w:pPr>
        <w:ind w:left="4650" w:hanging="180"/>
      </w:pPr>
    </w:lvl>
    <w:lvl w:ilvl="3" w:tplc="0409000F" w:tentative="1">
      <w:start w:val="1"/>
      <w:numFmt w:val="decimal"/>
      <w:lvlText w:val="%4."/>
      <w:lvlJc w:val="left"/>
      <w:pPr>
        <w:ind w:left="5370" w:hanging="360"/>
      </w:pPr>
    </w:lvl>
    <w:lvl w:ilvl="4" w:tplc="04090019" w:tentative="1">
      <w:start w:val="1"/>
      <w:numFmt w:val="lowerLetter"/>
      <w:lvlText w:val="%5."/>
      <w:lvlJc w:val="left"/>
      <w:pPr>
        <w:ind w:left="6090" w:hanging="360"/>
      </w:pPr>
    </w:lvl>
    <w:lvl w:ilvl="5" w:tplc="0409001B" w:tentative="1">
      <w:start w:val="1"/>
      <w:numFmt w:val="lowerRoman"/>
      <w:lvlText w:val="%6."/>
      <w:lvlJc w:val="right"/>
      <w:pPr>
        <w:ind w:left="6810" w:hanging="180"/>
      </w:pPr>
    </w:lvl>
    <w:lvl w:ilvl="6" w:tplc="0409000F" w:tentative="1">
      <w:start w:val="1"/>
      <w:numFmt w:val="decimal"/>
      <w:lvlText w:val="%7."/>
      <w:lvlJc w:val="left"/>
      <w:pPr>
        <w:ind w:left="7530" w:hanging="360"/>
      </w:pPr>
    </w:lvl>
    <w:lvl w:ilvl="7" w:tplc="04090019" w:tentative="1">
      <w:start w:val="1"/>
      <w:numFmt w:val="lowerLetter"/>
      <w:lvlText w:val="%8."/>
      <w:lvlJc w:val="left"/>
      <w:pPr>
        <w:ind w:left="8250" w:hanging="360"/>
      </w:pPr>
    </w:lvl>
    <w:lvl w:ilvl="8" w:tplc="0409001B" w:tentative="1">
      <w:start w:val="1"/>
      <w:numFmt w:val="lowerRoman"/>
      <w:lvlText w:val="%9."/>
      <w:lvlJc w:val="right"/>
      <w:pPr>
        <w:ind w:left="8970" w:hanging="180"/>
      </w:pPr>
    </w:lvl>
  </w:abstractNum>
  <w:abstractNum w:abstractNumId="7" w15:restartNumberingAfterBreak="0">
    <w:nsid w:val="57A04D5D"/>
    <w:multiLevelType w:val="hybridMultilevel"/>
    <w:tmpl w:val="4B3CBC3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4721692"/>
    <w:multiLevelType w:val="hybridMultilevel"/>
    <w:tmpl w:val="8BC68E6C"/>
    <w:lvl w:ilvl="0" w:tplc="9C5CFD96">
      <w:start w:val="1"/>
      <w:numFmt w:val="decimal"/>
      <w:pStyle w:val="Paragraphnumbered"/>
      <w:lvlText w:val="%1."/>
      <w:lvlJc w:val="left"/>
      <w:pPr>
        <w:ind w:left="644" w:hanging="360"/>
      </w:pPr>
      <w:rPr>
        <w:rFonts w:hint="default"/>
      </w:rPr>
    </w:lvl>
    <w:lvl w:ilvl="1" w:tplc="EDD6ACA2">
      <w:numFmt w:val="decimal"/>
      <w:lvlText w:val=""/>
      <w:lvlJc w:val="left"/>
    </w:lvl>
    <w:lvl w:ilvl="2" w:tplc="328A694E">
      <w:numFmt w:val="decimal"/>
      <w:lvlText w:val=""/>
      <w:lvlJc w:val="left"/>
    </w:lvl>
    <w:lvl w:ilvl="3" w:tplc="32009542">
      <w:numFmt w:val="decimal"/>
      <w:lvlText w:val=""/>
      <w:lvlJc w:val="left"/>
    </w:lvl>
    <w:lvl w:ilvl="4" w:tplc="8070CBEA">
      <w:numFmt w:val="decimal"/>
      <w:lvlText w:val=""/>
      <w:lvlJc w:val="left"/>
    </w:lvl>
    <w:lvl w:ilvl="5" w:tplc="655855F4">
      <w:numFmt w:val="decimal"/>
      <w:lvlText w:val=""/>
      <w:lvlJc w:val="left"/>
    </w:lvl>
    <w:lvl w:ilvl="6" w:tplc="E64817F0">
      <w:numFmt w:val="decimal"/>
      <w:lvlText w:val=""/>
      <w:lvlJc w:val="left"/>
    </w:lvl>
    <w:lvl w:ilvl="7" w:tplc="959282D4">
      <w:numFmt w:val="decimal"/>
      <w:lvlText w:val=""/>
      <w:lvlJc w:val="left"/>
    </w:lvl>
    <w:lvl w:ilvl="8" w:tplc="6DF0E860">
      <w:numFmt w:val="decimal"/>
      <w:lvlText w:val=""/>
      <w:lvlJc w:val="left"/>
    </w:lvl>
  </w:abstractNum>
  <w:abstractNum w:abstractNumId="9" w15:restartNumberingAfterBreak="0">
    <w:nsid w:val="7ADF7EA4"/>
    <w:multiLevelType w:val="hybridMultilevel"/>
    <w:tmpl w:val="796A5880"/>
    <w:lvl w:ilvl="0" w:tplc="A850A1FA">
      <w:start w:val="1"/>
      <w:numFmt w:val="lowerLetter"/>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10" w15:restartNumberingAfterBreak="0">
    <w:nsid w:val="7DD51896"/>
    <w:multiLevelType w:val="hybridMultilevel"/>
    <w:tmpl w:val="37FE98A0"/>
    <w:lvl w:ilvl="0" w:tplc="48E4BEB4">
      <w:start w:val="1"/>
      <w:numFmt w:val="lowerLetter"/>
      <w:lvlText w:val="(%1)"/>
      <w:lvlJc w:val="left"/>
      <w:pPr>
        <w:ind w:left="2339" w:hanging="360"/>
      </w:pPr>
      <w:rPr>
        <w:rFonts w:hint="default"/>
      </w:rPr>
    </w:lvl>
    <w:lvl w:ilvl="1" w:tplc="04210019" w:tentative="1">
      <w:start w:val="1"/>
      <w:numFmt w:val="lowerLetter"/>
      <w:lvlText w:val="%2."/>
      <w:lvlJc w:val="left"/>
      <w:pPr>
        <w:ind w:left="3059" w:hanging="360"/>
      </w:pPr>
    </w:lvl>
    <w:lvl w:ilvl="2" w:tplc="0421001B" w:tentative="1">
      <w:start w:val="1"/>
      <w:numFmt w:val="lowerRoman"/>
      <w:lvlText w:val="%3."/>
      <w:lvlJc w:val="right"/>
      <w:pPr>
        <w:ind w:left="3779" w:hanging="180"/>
      </w:pPr>
    </w:lvl>
    <w:lvl w:ilvl="3" w:tplc="0421000F" w:tentative="1">
      <w:start w:val="1"/>
      <w:numFmt w:val="decimal"/>
      <w:lvlText w:val="%4."/>
      <w:lvlJc w:val="left"/>
      <w:pPr>
        <w:ind w:left="4499" w:hanging="360"/>
      </w:pPr>
    </w:lvl>
    <w:lvl w:ilvl="4" w:tplc="04210019" w:tentative="1">
      <w:start w:val="1"/>
      <w:numFmt w:val="lowerLetter"/>
      <w:lvlText w:val="%5."/>
      <w:lvlJc w:val="left"/>
      <w:pPr>
        <w:ind w:left="5219" w:hanging="360"/>
      </w:pPr>
    </w:lvl>
    <w:lvl w:ilvl="5" w:tplc="0421001B" w:tentative="1">
      <w:start w:val="1"/>
      <w:numFmt w:val="lowerRoman"/>
      <w:lvlText w:val="%6."/>
      <w:lvlJc w:val="right"/>
      <w:pPr>
        <w:ind w:left="5939" w:hanging="180"/>
      </w:pPr>
    </w:lvl>
    <w:lvl w:ilvl="6" w:tplc="0421000F" w:tentative="1">
      <w:start w:val="1"/>
      <w:numFmt w:val="decimal"/>
      <w:lvlText w:val="%7."/>
      <w:lvlJc w:val="left"/>
      <w:pPr>
        <w:ind w:left="6659" w:hanging="360"/>
      </w:pPr>
    </w:lvl>
    <w:lvl w:ilvl="7" w:tplc="04210019" w:tentative="1">
      <w:start w:val="1"/>
      <w:numFmt w:val="lowerLetter"/>
      <w:lvlText w:val="%8."/>
      <w:lvlJc w:val="left"/>
      <w:pPr>
        <w:ind w:left="7379" w:hanging="360"/>
      </w:pPr>
    </w:lvl>
    <w:lvl w:ilvl="8" w:tplc="0421001B" w:tentative="1">
      <w:start w:val="1"/>
      <w:numFmt w:val="lowerRoman"/>
      <w:lvlText w:val="%9."/>
      <w:lvlJc w:val="right"/>
      <w:pPr>
        <w:ind w:left="8099" w:hanging="180"/>
      </w:pPr>
    </w:lvl>
  </w:abstractNum>
  <w:abstractNum w:abstractNumId="11" w15:restartNumberingAfterBreak="0">
    <w:nsid w:val="7F146DED"/>
    <w:multiLevelType w:val="hybridMultilevel"/>
    <w:tmpl w:val="C5303940"/>
    <w:lvl w:ilvl="0" w:tplc="04090001">
      <w:start w:val="1"/>
      <w:numFmt w:val="bullet"/>
      <w:lvlText w:val=""/>
      <w:lvlJc w:val="left"/>
      <w:pPr>
        <w:ind w:left="644"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7F27606F"/>
    <w:multiLevelType w:val="hybridMultilevel"/>
    <w:tmpl w:val="DC38ED0C"/>
    <w:lvl w:ilvl="0" w:tplc="C048FDD8">
      <w:start w:val="1"/>
      <w:numFmt w:val="lowerLetter"/>
      <w:lvlText w:val="(%1)"/>
      <w:lvlJc w:val="left"/>
      <w:pPr>
        <w:ind w:left="1919" w:hanging="360"/>
      </w:pPr>
      <w:rPr>
        <w:rFonts w:hint="default"/>
      </w:rPr>
    </w:lvl>
    <w:lvl w:ilvl="1" w:tplc="04210019" w:tentative="1">
      <w:start w:val="1"/>
      <w:numFmt w:val="lowerLetter"/>
      <w:lvlText w:val="%2."/>
      <w:lvlJc w:val="left"/>
      <w:pPr>
        <w:ind w:left="2639" w:hanging="360"/>
      </w:pPr>
    </w:lvl>
    <w:lvl w:ilvl="2" w:tplc="0421001B" w:tentative="1">
      <w:start w:val="1"/>
      <w:numFmt w:val="lowerRoman"/>
      <w:lvlText w:val="%3."/>
      <w:lvlJc w:val="right"/>
      <w:pPr>
        <w:ind w:left="3359" w:hanging="180"/>
      </w:pPr>
    </w:lvl>
    <w:lvl w:ilvl="3" w:tplc="0421000F" w:tentative="1">
      <w:start w:val="1"/>
      <w:numFmt w:val="decimal"/>
      <w:lvlText w:val="%4."/>
      <w:lvlJc w:val="left"/>
      <w:pPr>
        <w:ind w:left="4079" w:hanging="360"/>
      </w:pPr>
    </w:lvl>
    <w:lvl w:ilvl="4" w:tplc="04210019" w:tentative="1">
      <w:start w:val="1"/>
      <w:numFmt w:val="lowerLetter"/>
      <w:lvlText w:val="%5."/>
      <w:lvlJc w:val="left"/>
      <w:pPr>
        <w:ind w:left="4799" w:hanging="360"/>
      </w:pPr>
    </w:lvl>
    <w:lvl w:ilvl="5" w:tplc="0421001B" w:tentative="1">
      <w:start w:val="1"/>
      <w:numFmt w:val="lowerRoman"/>
      <w:lvlText w:val="%6."/>
      <w:lvlJc w:val="right"/>
      <w:pPr>
        <w:ind w:left="5519" w:hanging="180"/>
      </w:pPr>
    </w:lvl>
    <w:lvl w:ilvl="6" w:tplc="0421000F" w:tentative="1">
      <w:start w:val="1"/>
      <w:numFmt w:val="decimal"/>
      <w:lvlText w:val="%7."/>
      <w:lvlJc w:val="left"/>
      <w:pPr>
        <w:ind w:left="6239" w:hanging="360"/>
      </w:pPr>
    </w:lvl>
    <w:lvl w:ilvl="7" w:tplc="04210019" w:tentative="1">
      <w:start w:val="1"/>
      <w:numFmt w:val="lowerLetter"/>
      <w:lvlText w:val="%8."/>
      <w:lvlJc w:val="left"/>
      <w:pPr>
        <w:ind w:left="6959" w:hanging="360"/>
      </w:pPr>
    </w:lvl>
    <w:lvl w:ilvl="8" w:tplc="0421001B" w:tentative="1">
      <w:start w:val="1"/>
      <w:numFmt w:val="lowerRoman"/>
      <w:lvlText w:val="%9."/>
      <w:lvlJc w:val="right"/>
      <w:pPr>
        <w:ind w:left="7679" w:hanging="180"/>
      </w:pPr>
    </w:lvl>
  </w:abstractNum>
  <w:num w:numId="1" w16cid:durableId="2129622653">
    <w:abstractNumId w:val="3"/>
  </w:num>
  <w:num w:numId="2" w16cid:durableId="1020618572">
    <w:abstractNumId w:val="0"/>
  </w:num>
  <w:num w:numId="3" w16cid:durableId="75130493">
    <w:abstractNumId w:val="10"/>
  </w:num>
  <w:num w:numId="4" w16cid:durableId="1065300793">
    <w:abstractNumId w:val="9"/>
  </w:num>
  <w:num w:numId="5" w16cid:durableId="804395888">
    <w:abstractNumId w:val="12"/>
  </w:num>
  <w:num w:numId="6" w16cid:durableId="1384064098">
    <w:abstractNumId w:val="6"/>
  </w:num>
  <w:num w:numId="7" w16cid:durableId="2109763546">
    <w:abstractNumId w:val="7"/>
  </w:num>
  <w:num w:numId="8" w16cid:durableId="1289776494">
    <w:abstractNumId w:val="8"/>
  </w:num>
  <w:num w:numId="9" w16cid:durableId="2033991349">
    <w:abstractNumId w:val="11"/>
  </w:num>
  <w:num w:numId="13" w16cid:durableId="136382022">
    <w:abstractNumId w:val="5"/>
  </w:num>
  <w:num w:numId="14" w16cid:durableId="1653829719">
    <w:abstractNumId w:val="2"/>
  </w:num>
  <w:num w:numId="15" w16cid:durableId="10592880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3MTMzMzY1tLAwsTRX0lEKTi0uzszPAymwrAUAyhvnQiwAAAA="/>
  </w:docVars>
  <w:rsids>
    <w:rsidRoot w:val="00103351"/>
    <w:rsid w:val="00007E82"/>
    <w:rsid w:val="000321F6"/>
    <w:rsid w:val="00071F4B"/>
    <w:rsid w:val="00095257"/>
    <w:rsid w:val="00096591"/>
    <w:rsid w:val="0009712B"/>
    <w:rsid w:val="00100C84"/>
    <w:rsid w:val="00103351"/>
    <w:rsid w:val="00112CC8"/>
    <w:rsid w:val="00135399"/>
    <w:rsid w:val="00170E50"/>
    <w:rsid w:val="00173F06"/>
    <w:rsid w:val="00174B1A"/>
    <w:rsid w:val="00234746"/>
    <w:rsid w:val="0029109B"/>
    <w:rsid w:val="002C2A3E"/>
    <w:rsid w:val="002C6534"/>
    <w:rsid w:val="002D526A"/>
    <w:rsid w:val="002E3142"/>
    <w:rsid w:val="002F2089"/>
    <w:rsid w:val="00312E89"/>
    <w:rsid w:val="00313EA2"/>
    <w:rsid w:val="003F488B"/>
    <w:rsid w:val="00413F7F"/>
    <w:rsid w:val="00424655"/>
    <w:rsid w:val="004D186D"/>
    <w:rsid w:val="005369A4"/>
    <w:rsid w:val="005854B9"/>
    <w:rsid w:val="005972EA"/>
    <w:rsid w:val="00646C48"/>
    <w:rsid w:val="00692E5F"/>
    <w:rsid w:val="00694256"/>
    <w:rsid w:val="006A7CCA"/>
    <w:rsid w:val="006E0677"/>
    <w:rsid w:val="00713E80"/>
    <w:rsid w:val="00723E46"/>
    <w:rsid w:val="007425CD"/>
    <w:rsid w:val="007B1645"/>
    <w:rsid w:val="00815F97"/>
    <w:rsid w:val="00835526"/>
    <w:rsid w:val="00851250"/>
    <w:rsid w:val="00851F9A"/>
    <w:rsid w:val="008531B0"/>
    <w:rsid w:val="00870F22"/>
    <w:rsid w:val="00890568"/>
    <w:rsid w:val="00897463"/>
    <w:rsid w:val="008C6020"/>
    <w:rsid w:val="008C62B0"/>
    <w:rsid w:val="008C7988"/>
    <w:rsid w:val="008E475F"/>
    <w:rsid w:val="008F2F74"/>
    <w:rsid w:val="009559E5"/>
    <w:rsid w:val="00970372"/>
    <w:rsid w:val="009C1F9D"/>
    <w:rsid w:val="00A321C6"/>
    <w:rsid w:val="00A6707F"/>
    <w:rsid w:val="00A740F6"/>
    <w:rsid w:val="00A91A13"/>
    <w:rsid w:val="00AB18BC"/>
    <w:rsid w:val="00AB7F17"/>
    <w:rsid w:val="00AD0DFD"/>
    <w:rsid w:val="00AF4497"/>
    <w:rsid w:val="00B2239A"/>
    <w:rsid w:val="00B62462"/>
    <w:rsid w:val="00B70339"/>
    <w:rsid w:val="00B84366"/>
    <w:rsid w:val="00B95774"/>
    <w:rsid w:val="00BA2E41"/>
    <w:rsid w:val="00BB5DA8"/>
    <w:rsid w:val="00BB6228"/>
    <w:rsid w:val="00BE1392"/>
    <w:rsid w:val="00BE551C"/>
    <w:rsid w:val="00C44A08"/>
    <w:rsid w:val="00C87300"/>
    <w:rsid w:val="00CE2921"/>
    <w:rsid w:val="00D03E74"/>
    <w:rsid w:val="00D20147"/>
    <w:rsid w:val="00D37517"/>
    <w:rsid w:val="00D45FAD"/>
    <w:rsid w:val="00D56A36"/>
    <w:rsid w:val="00D6005F"/>
    <w:rsid w:val="00D64107"/>
    <w:rsid w:val="00D943F2"/>
    <w:rsid w:val="00D97F34"/>
    <w:rsid w:val="00DF208A"/>
    <w:rsid w:val="00E265D7"/>
    <w:rsid w:val="00E336B7"/>
    <w:rsid w:val="00E524CA"/>
    <w:rsid w:val="00E77BDE"/>
    <w:rsid w:val="00EA15FA"/>
    <w:rsid w:val="00EF4212"/>
    <w:rsid w:val="00F240BF"/>
    <w:rsid w:val="00F80903"/>
    <w:rsid w:val="00F85EB9"/>
    <w:rsid w:val="00F91F3E"/>
    <w:rsid w:val="00F9527A"/>
    <w:rsid w:val="00FA6CD3"/>
    <w:rsid w:val="00FB6A4A"/>
    <w:rsid w:val="00FC24EB"/>
    <w:rsid w:val="00FE5D4C"/>
  </w:rsids>
  <m:mathPr>
    <m:mathFont m:val="Cambria Math"/>
    <m:brkBin m:val="before"/>
    <m:brkBinSub m:val="--"/>
    <m:smallFrac m:val="0"/>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D0C9E"/>
  <w15:chartTrackingRefBased/>
  <w15:docId w15:val="{73094259-6968-4D1B-8E58-ECB5B54B7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id-ID"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351"/>
    <w:pPr>
      <w:spacing w:after="200" w:line="276" w:lineRule="auto"/>
    </w:pPr>
    <w:rPr>
      <w:rFonts w:ascii="Calibri" w:eastAsia="Times New Roman" w:hAnsi="Calibri" w:cs="Times New Roman"/>
      <w:lang w:eastAsia="id-ID"/>
    </w:rPr>
  </w:style>
  <w:style w:type="paragraph" w:styleId="Heading1">
    <w:name w:val="heading 1"/>
    <w:basedOn w:val="Normal"/>
    <w:next w:val="Normal"/>
    <w:link w:val="Heading1Char"/>
    <w:uiPriority w:val="9"/>
    <w:qFormat/>
    <w:rsid w:val="008F2F74"/>
    <w:pPr>
      <w:keepNext/>
      <w:keepLines/>
      <w:spacing w:before="240" w:after="0"/>
      <w:jc w:val="center"/>
      <w:outlineLvl w:val="0"/>
    </w:pPr>
    <w:rPr>
      <w:rFonts w:ascii="Times New Roman" w:eastAsiaTheme="majorEastAsia" w:hAnsi="Times New Roman" w:cstheme="majorBidi"/>
      <w:b/>
      <w:caps/>
      <w:sz w:val="28"/>
      <w:szCs w:val="32"/>
    </w:rPr>
  </w:style>
  <w:style w:type="paragraph" w:styleId="Heading2">
    <w:name w:val="heading 2"/>
    <w:basedOn w:val="Normal"/>
    <w:next w:val="Normal"/>
    <w:link w:val="Heading2Char"/>
    <w:uiPriority w:val="9"/>
    <w:unhideWhenUsed/>
    <w:qFormat/>
    <w:rsid w:val="00EF4212"/>
    <w:pPr>
      <w:keepNext/>
      <w:keepLines/>
      <w:spacing w:before="40" w:after="0"/>
      <w:jc w:val="center"/>
      <w:outlineLvl w:val="1"/>
    </w:pPr>
    <w:rPr>
      <w:rFonts w:ascii="Times New Roman" w:eastAsiaTheme="majorEastAsia" w:hAnsi="Times New Roman" w:cstheme="majorBidi"/>
      <w:b/>
      <w:sz w:val="24"/>
      <w:szCs w:val="26"/>
    </w:rPr>
  </w:style>
  <w:style w:type="paragraph" w:styleId="Heading3">
    <w:name w:val="heading 3"/>
    <w:basedOn w:val="Normal"/>
    <w:next w:val="Normal"/>
    <w:link w:val="Heading3Char"/>
    <w:uiPriority w:val="9"/>
    <w:semiHidden/>
    <w:unhideWhenUsed/>
    <w:qFormat/>
    <w:rsid w:val="00692E5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horName">
    <w:name w:val="Author Name"/>
    <w:basedOn w:val="Normal"/>
    <w:next w:val="Normal"/>
    <w:rsid w:val="00BA2E41"/>
    <w:pPr>
      <w:spacing w:before="360" w:after="360" w:line="240" w:lineRule="auto"/>
      <w:jc w:val="center"/>
    </w:pPr>
    <w:rPr>
      <w:rFonts w:ascii="Times New Roman" w:hAnsi="Times New Roman"/>
      <w:sz w:val="28"/>
      <w:szCs w:val="20"/>
      <w:lang w:val="en-US" w:eastAsia="en-US"/>
    </w:rPr>
  </w:style>
  <w:style w:type="paragraph" w:customStyle="1" w:styleId="AuthorAffiliation">
    <w:name w:val="Author Affiliation"/>
    <w:basedOn w:val="Normal"/>
    <w:rsid w:val="00BA2E41"/>
    <w:pPr>
      <w:spacing w:after="0" w:line="240" w:lineRule="auto"/>
      <w:jc w:val="center"/>
    </w:pPr>
    <w:rPr>
      <w:rFonts w:ascii="Times New Roman" w:hAnsi="Times New Roman"/>
      <w:i/>
      <w:sz w:val="20"/>
      <w:szCs w:val="20"/>
      <w:lang w:val="en-US" w:eastAsia="en-US"/>
    </w:rPr>
  </w:style>
  <w:style w:type="character" w:customStyle="1" w:styleId="hps">
    <w:name w:val="hps"/>
    <w:basedOn w:val="DefaultParagraphFont"/>
    <w:rsid w:val="00D20147"/>
  </w:style>
  <w:style w:type="character" w:customStyle="1" w:styleId="Heading1Char">
    <w:name w:val="Heading 1 Char"/>
    <w:basedOn w:val="DefaultParagraphFont"/>
    <w:link w:val="Heading1"/>
    <w:uiPriority w:val="9"/>
    <w:rsid w:val="008F2F74"/>
    <w:rPr>
      <w:rFonts w:ascii="Times New Roman" w:eastAsiaTheme="majorEastAsia" w:hAnsi="Times New Roman" w:cstheme="majorBidi"/>
      <w:b/>
      <w:caps/>
      <w:sz w:val="28"/>
      <w:szCs w:val="32"/>
      <w:lang w:eastAsia="id-ID"/>
    </w:rPr>
  </w:style>
  <w:style w:type="character" w:customStyle="1" w:styleId="Heading2Char">
    <w:name w:val="Heading 2 Char"/>
    <w:basedOn w:val="DefaultParagraphFont"/>
    <w:link w:val="Heading2"/>
    <w:uiPriority w:val="9"/>
    <w:rsid w:val="00EF4212"/>
    <w:rPr>
      <w:rFonts w:ascii="Times New Roman" w:eastAsiaTheme="majorEastAsia" w:hAnsi="Times New Roman" w:cstheme="majorBidi"/>
      <w:b/>
      <w:sz w:val="24"/>
      <w:szCs w:val="26"/>
      <w:lang w:eastAsia="id-ID"/>
    </w:rPr>
  </w:style>
  <w:style w:type="paragraph" w:styleId="ListParagraph">
    <w:name w:val="List Paragraph"/>
    <w:basedOn w:val="Normal"/>
    <w:uiPriority w:val="34"/>
    <w:qFormat/>
    <w:rsid w:val="00A6707F"/>
    <w:pPr>
      <w:ind w:left="720"/>
      <w:contextualSpacing/>
    </w:pPr>
  </w:style>
  <w:style w:type="table" w:styleId="TableGrid">
    <w:name w:val="Table Grid"/>
    <w:basedOn w:val="TableNormal"/>
    <w:rsid w:val="00AF44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00C84"/>
    <w:rPr>
      <w:color w:val="0563C1" w:themeColor="hyperlink"/>
      <w:u w:val="single"/>
    </w:rPr>
  </w:style>
  <w:style w:type="character" w:styleId="UnresolvedMention">
    <w:name w:val="Unresolved Mention"/>
    <w:basedOn w:val="DefaultParagraphFont"/>
    <w:uiPriority w:val="99"/>
    <w:semiHidden/>
    <w:unhideWhenUsed/>
    <w:rsid w:val="00100C84"/>
    <w:rPr>
      <w:color w:val="605E5C"/>
      <w:shd w:val="clear" w:color="auto" w:fill="E1DFDD"/>
    </w:rPr>
  </w:style>
  <w:style w:type="paragraph" w:customStyle="1" w:styleId="Paragraph">
    <w:name w:val="Paragraph"/>
    <w:basedOn w:val="Normal"/>
    <w:rsid w:val="00BE551C"/>
    <w:pPr>
      <w:spacing w:after="0" w:line="240" w:lineRule="auto"/>
      <w:ind w:firstLine="284"/>
      <w:jc w:val="both"/>
    </w:pPr>
    <w:rPr>
      <w:rFonts w:ascii="Times New Roman" w:hAnsi="Times New Roman"/>
      <w:sz w:val="20"/>
      <w:szCs w:val="20"/>
      <w:lang w:val="en-US" w:eastAsia="en-US"/>
    </w:rPr>
  </w:style>
  <w:style w:type="paragraph" w:customStyle="1" w:styleId="TableCaption">
    <w:name w:val="Table Caption"/>
    <w:basedOn w:val="Normal"/>
    <w:qFormat/>
    <w:rsid w:val="00BE551C"/>
    <w:pPr>
      <w:spacing w:before="120" w:after="0" w:line="240" w:lineRule="auto"/>
      <w:jc w:val="center"/>
    </w:pPr>
    <w:rPr>
      <w:rFonts w:ascii="Times New Roman" w:hAnsi="Times New Roman"/>
      <w:sz w:val="18"/>
      <w:szCs w:val="18"/>
      <w:lang w:val="en-US" w:eastAsia="en-US"/>
    </w:rPr>
  </w:style>
  <w:style w:type="character" w:customStyle="1" w:styleId="Heading3Char">
    <w:name w:val="Heading 3 Char"/>
    <w:basedOn w:val="DefaultParagraphFont"/>
    <w:link w:val="Heading3"/>
    <w:uiPriority w:val="9"/>
    <w:semiHidden/>
    <w:rsid w:val="00692E5F"/>
    <w:rPr>
      <w:rFonts w:asciiTheme="majorHAnsi" w:eastAsiaTheme="majorEastAsia" w:hAnsiTheme="majorHAnsi" w:cstheme="majorBidi"/>
      <w:color w:val="1F3763" w:themeColor="accent1" w:themeShade="7F"/>
      <w:sz w:val="24"/>
      <w:szCs w:val="24"/>
      <w:lang w:eastAsia="id-ID"/>
    </w:rPr>
  </w:style>
  <w:style w:type="paragraph" w:customStyle="1" w:styleId="Figure">
    <w:name w:val="Figure"/>
    <w:basedOn w:val="Paragraph"/>
    <w:rsid w:val="00D97F34"/>
    <w:pPr>
      <w:keepNext/>
      <w:ind w:firstLine="0"/>
      <w:jc w:val="center"/>
    </w:pPr>
  </w:style>
  <w:style w:type="paragraph" w:customStyle="1" w:styleId="Paragraphnumbered">
    <w:name w:val="Paragraph (numbered)"/>
    <w:rsid w:val="00D97F34"/>
    <w:pPr>
      <w:numPr>
        <w:numId w:val="8"/>
      </w:numPr>
      <w:spacing w:after="0" w:line="240" w:lineRule="auto"/>
      <w:jc w:val="both"/>
    </w:pPr>
    <w:rPr>
      <w:rFonts w:ascii="Times New Roman" w:eastAsia="Times New Roman" w:hAnsi="Times New Roman" w:cs="Times New Roman"/>
      <w:sz w:val="20"/>
      <w:szCs w:val="20"/>
      <w:lang w:val="en-US" w:eastAsia="en-US"/>
    </w:rPr>
  </w:style>
  <w:style w:type="paragraph" w:customStyle="1" w:styleId="Equation">
    <w:name w:val="Equation"/>
    <w:basedOn w:val="Paragraph"/>
    <w:rsid w:val="00D97F34"/>
    <w:pPr>
      <w:tabs>
        <w:tab w:val="center" w:pos="4320"/>
        <w:tab w:val="right" w:pos="9242"/>
      </w:tabs>
      <w:ind w:firstLine="0"/>
      <w:jc w:val="center"/>
    </w:pPr>
  </w:style>
  <w:style w:type="paragraph" w:customStyle="1" w:styleId="Paragraphbulleted">
    <w:name w:val="Paragraph (bulleted)"/>
    <w:basedOn w:val="Paragraph"/>
    <w:rsid w:val="009C1F9D"/>
    <w:pPr>
      <w:numPr>
        <w:numId w:val="13"/>
      </w:numPr>
      <w:ind w:left="641"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59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tif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C89F-28D9-46B2-A0F4-7E94D9AF3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5</Pages>
  <Words>7509</Words>
  <Characters>42805</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herlansetiaone herlansetiaone</dc:creator>
  <cp:keywords/>
  <dc:description/>
  <cp:lastModifiedBy>Herlan Setiawan</cp:lastModifiedBy>
  <cp:revision>3</cp:revision>
  <cp:lastPrinted>2023-01-18T05:00:00Z</cp:lastPrinted>
  <dcterms:created xsi:type="dcterms:W3CDTF">2024-08-01T12:56:00Z</dcterms:created>
  <dcterms:modified xsi:type="dcterms:W3CDTF">2024-08-01T18:47:00Z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3f74d6c7-61d1-3367-adbd-4a55bf195e53</vt:lpwstr>
  </property>
  <property fmtid="{D5CDD505-2E9C-101B-9397-08002B2CF9AE}" pid="4" name="Mendeley Citation Style_1">
    <vt:lpwstr>http://www.zotero.org/styles/nature</vt:lpwstr>
  </property>
  <property fmtid="{D5CDD505-2E9C-101B-9397-08002B2CF9AE}" pid="5" name="Mendeley Recent Style Id 0_1">
    <vt:lpwstr>http://www.zotero.org/styles/apa</vt:lpwstr>
  </property>
  <property fmtid="{D5CDD505-2E9C-101B-9397-08002B2CF9AE}" pid="6" name="Mendeley Recent Style Name 0_1">
    <vt:lpwstr>American Psychological Association 6th edition</vt:lpwstr>
  </property>
  <property fmtid="{D5CDD505-2E9C-101B-9397-08002B2CF9AE}" pid="7" name="Mendeley Recent Style Id 1_1">
    <vt:lpwstr>http://www.zotero.org/styles/american-sociological-association</vt:lpwstr>
  </property>
  <property fmtid="{D5CDD505-2E9C-101B-9397-08002B2CF9AE}" pid="8" name="Mendeley Recent Style Name 1_1">
    <vt:lpwstr>American Sociological Association</vt:lpwstr>
  </property>
  <property fmtid="{D5CDD505-2E9C-101B-9397-08002B2CF9AE}" pid="9" name="Mendeley Recent Style Id 2_1">
    <vt:lpwstr>http://www.zotero.org/styles/biomaterials</vt:lpwstr>
  </property>
  <property fmtid="{D5CDD505-2E9C-101B-9397-08002B2CF9AE}" pid="10" name="Mendeley Recent Style Name 2_1">
    <vt:lpwstr>Biomaterials</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17th edition (author-date)</vt:lpwstr>
  </property>
  <property fmtid="{D5CDD505-2E9C-101B-9397-08002B2CF9AE}" pid="13" name="Mendeley Recent Style Id 4_1">
    <vt:lpwstr>http://www.zotero.org/styles/elsevier-without-titles</vt:lpwstr>
  </property>
  <property fmtid="{D5CDD505-2E9C-101B-9397-08002B2CF9AE}" pid="14" name="Mendeley Recent Style Name 4_1">
    <vt:lpwstr>Elsevier (numeric, without titles)</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(deprecated)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y fmtid="{D5CDD505-2E9C-101B-9397-08002B2CF9AE}" pid="25" name="GrammarlyDocumentId">
    <vt:lpwstr>61a23418d89446861ef52dfca6d616b82bb3ebcb85d5d1f8ca095226b9fe04db</vt:lpwstr>
  </property>
</Properties>
</file>